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0B5F" w14:textId="18356993" w:rsidR="00404791" w:rsidRPr="000C1A68" w:rsidRDefault="00404791" w:rsidP="00404791">
      <w:pPr>
        <w:jc w:val="center"/>
        <w:rPr>
          <w:b/>
          <w:sz w:val="32"/>
          <w:szCs w:val="32"/>
        </w:rPr>
      </w:pPr>
      <w:r w:rsidRPr="000C1A68">
        <w:rPr>
          <w:b/>
          <w:sz w:val="32"/>
          <w:szCs w:val="32"/>
        </w:rPr>
        <w:t>ALOT</w:t>
      </w:r>
    </w:p>
    <w:p w14:paraId="0F2AD32D" w14:textId="09FCB9F8" w:rsidR="00404791" w:rsidRPr="00411EE0" w:rsidRDefault="00404791" w:rsidP="00404791">
      <w:pPr>
        <w:pStyle w:val="Title"/>
        <w:jc w:val="center"/>
        <w:rPr>
          <w:rFonts w:asciiTheme="minorHAnsi" w:hAnsiTheme="minorHAnsi" w:cstheme="minorHAnsi"/>
          <w:b/>
          <w:sz w:val="32"/>
          <w:szCs w:val="32"/>
        </w:rPr>
      </w:pPr>
      <w:r w:rsidRPr="00411EE0">
        <w:rPr>
          <w:rFonts w:asciiTheme="minorHAnsi" w:hAnsiTheme="minorHAnsi" w:cstheme="minorHAnsi"/>
          <w:b/>
          <w:sz w:val="32"/>
          <w:szCs w:val="32"/>
        </w:rPr>
        <w:t>RESOURCES</w:t>
      </w:r>
    </w:p>
    <w:p w14:paraId="623DA6CD" w14:textId="77777777" w:rsidR="00404791" w:rsidRPr="000C1A68" w:rsidRDefault="00404791" w:rsidP="00404791">
      <w:pPr>
        <w:jc w:val="center"/>
      </w:pPr>
    </w:p>
    <w:p w14:paraId="661286CF" w14:textId="1D7FACDE" w:rsidR="00404791" w:rsidRPr="00404791" w:rsidRDefault="00404791" w:rsidP="7DFBD1A2">
      <w:pPr>
        <w:pStyle w:val="Heading2"/>
        <w:pBdr>
          <w:top w:val="single" w:sz="4" w:space="4" w:color="000000"/>
          <w:left w:val="single" w:sz="4" w:space="4" w:color="000000"/>
          <w:bottom w:val="single" w:sz="4" w:space="4" w:color="000000"/>
          <w:right w:val="single" w:sz="4" w:space="4" w:color="000000"/>
        </w:pBdr>
        <w:shd w:val="clear" w:color="auto" w:fill="B4C6E7" w:themeFill="accent1" w:themeFillTint="66"/>
        <w:jc w:val="center"/>
        <w:rPr>
          <w:b/>
          <w:color w:val="000000" w:themeColor="text1"/>
        </w:rPr>
      </w:pPr>
      <w:r w:rsidRPr="7DFBD1A2">
        <w:rPr>
          <w:b/>
          <w:color w:val="000000" w:themeColor="text1"/>
        </w:rPr>
        <w:t>Quick Resources</w:t>
      </w:r>
    </w:p>
    <w:p w14:paraId="4ECF2824" w14:textId="77777777" w:rsidR="00404791" w:rsidRPr="00404791" w:rsidRDefault="00404791" w:rsidP="00404791"/>
    <w:p w14:paraId="7932BE87" w14:textId="2A34B8D8" w:rsidR="00404791" w:rsidRPr="00411EE0" w:rsidRDefault="00404791" w:rsidP="7DFBD1A2">
      <w:pPr>
        <w:pStyle w:val="Heading3"/>
        <w:jc w:val="center"/>
        <w:rPr>
          <w:rStyle w:val="Heading2Char"/>
          <w:rFonts w:asciiTheme="minorHAnsi" w:hAnsiTheme="minorHAnsi" w:cstheme="minorHAnsi"/>
          <w:b/>
          <w:color w:val="000000" w:themeColor="text1"/>
          <w:sz w:val="28"/>
          <w:szCs w:val="28"/>
        </w:rPr>
      </w:pPr>
      <w:r w:rsidRPr="05E5772A">
        <w:rPr>
          <w:rFonts w:asciiTheme="minorHAnsi" w:hAnsiTheme="minorHAnsi" w:cstheme="minorBidi"/>
          <w:b/>
          <w:bCs/>
          <w:color w:val="000000" w:themeColor="text1"/>
          <w:sz w:val="32"/>
          <w:szCs w:val="32"/>
        </w:rPr>
        <w:t>Podcasts and videos</w:t>
      </w:r>
    </w:p>
    <w:p w14:paraId="318A4819" w14:textId="43B8DD87" w:rsidR="05E5772A" w:rsidRDefault="05E5772A" w:rsidP="05E5772A"/>
    <w:p w14:paraId="6567A4AA" w14:textId="1DD8343C" w:rsidR="003F0435" w:rsidRDefault="0099446A" w:rsidP="003F0435">
      <w:pPr>
        <w:rPr>
          <w:rFonts w:eastAsiaTheme="minorEastAsia"/>
          <w:sz w:val="24"/>
          <w:szCs w:val="24"/>
        </w:rPr>
      </w:pPr>
      <w:hyperlink r:id="rId6">
        <w:r w:rsidR="003F0435" w:rsidRPr="7DFBD1A2">
          <w:rPr>
            <w:rStyle w:val="Hyperlink"/>
            <w:rFonts w:eastAsiaTheme="minorEastAsia"/>
            <w:sz w:val="24"/>
            <w:szCs w:val="24"/>
          </w:rPr>
          <w:t>Supporting Adult Learners in Higer Education</w:t>
        </w:r>
      </w:hyperlink>
    </w:p>
    <w:p w14:paraId="1EF1D0E8" w14:textId="77777777" w:rsidR="003F0435" w:rsidRPr="003F0435" w:rsidRDefault="003F0435" w:rsidP="05E5772A">
      <w:pPr>
        <w:rPr>
          <w:rFonts w:eastAsiaTheme="minorEastAsia"/>
          <w:sz w:val="24"/>
          <w:szCs w:val="24"/>
        </w:rPr>
      </w:pPr>
    </w:p>
    <w:p w14:paraId="7055CE4E" w14:textId="254F593C" w:rsidR="00404791" w:rsidRDefault="0099446A" w:rsidP="05E5772A">
      <w:pPr>
        <w:pStyle w:val="Heading2"/>
        <w:rPr>
          <w:rFonts w:asciiTheme="minorHAnsi" w:eastAsiaTheme="minorEastAsia" w:hAnsiTheme="minorHAnsi" w:cstheme="minorBidi"/>
          <w:sz w:val="24"/>
          <w:szCs w:val="24"/>
        </w:rPr>
      </w:pPr>
      <w:hyperlink r:id="rId7">
        <w:r w:rsidR="32E04554" w:rsidRPr="05E5772A">
          <w:rPr>
            <w:rStyle w:val="Hyperlink"/>
            <w:rFonts w:asciiTheme="minorHAnsi" w:eastAsiaTheme="minorEastAsia" w:hAnsiTheme="minorHAnsi" w:cstheme="minorBidi"/>
            <w:sz w:val="24"/>
            <w:szCs w:val="24"/>
          </w:rPr>
          <w:t>R</w:t>
        </w:r>
        <w:r w:rsidR="000F6138" w:rsidRPr="05E5772A">
          <w:rPr>
            <w:rStyle w:val="Hyperlink"/>
            <w:rFonts w:asciiTheme="minorHAnsi" w:eastAsiaTheme="minorEastAsia" w:hAnsiTheme="minorHAnsi" w:cstheme="minorBidi"/>
            <w:sz w:val="24"/>
            <w:szCs w:val="24"/>
          </w:rPr>
          <w:t>e</w:t>
        </w:r>
        <w:r w:rsidR="32E04554" w:rsidRPr="05E5772A">
          <w:rPr>
            <w:rStyle w:val="Hyperlink"/>
            <w:rFonts w:asciiTheme="minorHAnsi" w:eastAsiaTheme="minorEastAsia" w:hAnsiTheme="minorHAnsi" w:cstheme="minorBidi"/>
            <w:sz w:val="24"/>
            <w:szCs w:val="24"/>
          </w:rPr>
          <w:t>visiting Adult Learning Theory-Jeff Cobb</w:t>
        </w:r>
      </w:hyperlink>
    </w:p>
    <w:p w14:paraId="2E997ACB" w14:textId="77777777" w:rsidR="00404791" w:rsidRPr="00404791" w:rsidRDefault="00404791" w:rsidP="00404791"/>
    <w:p w14:paraId="4463FDE8" w14:textId="3902D33F" w:rsidR="6528EDA1" w:rsidRDefault="6528EDA1" w:rsidP="7DFBD1A2">
      <w:pPr>
        <w:pStyle w:val="Subtitle"/>
        <w:jc w:val="center"/>
        <w:rPr>
          <w:rStyle w:val="Heading2Char"/>
          <w:rFonts w:asciiTheme="minorHAnsi" w:eastAsiaTheme="minorEastAsia" w:hAnsiTheme="minorHAnsi" w:cstheme="minorBidi"/>
          <w:b/>
          <w:bCs/>
          <w:color w:val="000000" w:themeColor="text1"/>
          <w:sz w:val="32"/>
          <w:szCs w:val="32"/>
        </w:rPr>
      </w:pPr>
      <w:r w:rsidRPr="7DFBD1A2">
        <w:rPr>
          <w:rStyle w:val="Heading2Char"/>
          <w:rFonts w:asciiTheme="minorHAnsi" w:eastAsiaTheme="minorEastAsia" w:hAnsiTheme="minorHAnsi" w:cstheme="minorBidi"/>
          <w:b/>
          <w:bCs/>
          <w:color w:val="000000" w:themeColor="text1"/>
          <w:sz w:val="32"/>
          <w:szCs w:val="32"/>
        </w:rPr>
        <w:t>Web Pages</w:t>
      </w:r>
      <w:r w:rsidR="00DB4849">
        <w:rPr>
          <w:rStyle w:val="Heading2Char"/>
          <w:rFonts w:asciiTheme="minorHAnsi" w:eastAsiaTheme="minorEastAsia" w:hAnsiTheme="minorHAnsi" w:cstheme="minorBidi"/>
          <w:b/>
          <w:bCs/>
          <w:color w:val="000000" w:themeColor="text1"/>
          <w:sz w:val="32"/>
          <w:szCs w:val="32"/>
        </w:rPr>
        <w:t xml:space="preserve"> and Presentations</w:t>
      </w:r>
    </w:p>
    <w:p w14:paraId="556602DD" w14:textId="21C04D9B" w:rsidR="53CF9781" w:rsidRDefault="0099446A" w:rsidP="7DFBD1A2">
      <w:pPr>
        <w:rPr>
          <w:rFonts w:eastAsiaTheme="minorEastAsia"/>
          <w:sz w:val="24"/>
          <w:szCs w:val="24"/>
        </w:rPr>
      </w:pPr>
      <w:hyperlink r:id="rId8">
        <w:r w:rsidR="53CF9781" w:rsidRPr="7DFBD1A2">
          <w:rPr>
            <w:rStyle w:val="Hyperlink"/>
            <w:rFonts w:eastAsiaTheme="minorEastAsia"/>
            <w:sz w:val="24"/>
            <w:szCs w:val="24"/>
          </w:rPr>
          <w:t>Harvard Division of Continuing Education</w:t>
        </w:r>
      </w:hyperlink>
    </w:p>
    <w:p w14:paraId="5A5DB1BE" w14:textId="5B0F6DFC" w:rsidR="00404791" w:rsidRPr="00404791" w:rsidRDefault="0099446A" w:rsidP="7DFBD1A2">
      <w:pPr>
        <w:rPr>
          <w:rFonts w:eastAsiaTheme="minorEastAsia"/>
          <w:sz w:val="24"/>
          <w:szCs w:val="24"/>
        </w:rPr>
      </w:pPr>
      <w:hyperlink r:id="rId9">
        <w:r w:rsidR="45C6E668" w:rsidRPr="7DFBD1A2">
          <w:rPr>
            <w:rStyle w:val="Hyperlink"/>
            <w:rFonts w:eastAsiaTheme="minorEastAsia"/>
            <w:sz w:val="24"/>
            <w:szCs w:val="24"/>
          </w:rPr>
          <w:t>University of Illinois Center for Online Learning, Research and Service</w:t>
        </w:r>
      </w:hyperlink>
    </w:p>
    <w:p w14:paraId="4ED0EDF9" w14:textId="6CE0B0E9" w:rsidR="7CDCFC00" w:rsidRDefault="0099446A" w:rsidP="737DB95D">
      <w:pPr>
        <w:spacing w:after="0"/>
      </w:pPr>
      <w:hyperlink r:id="rId10">
        <w:r w:rsidR="7CDCFC00" w:rsidRPr="737DB95D">
          <w:rPr>
            <w:rStyle w:val="Hyperlink"/>
            <w:rFonts w:ascii="Aptos" w:eastAsia="Aptos" w:hAnsi="Aptos" w:cs="Aptos"/>
            <w:color w:val="467886"/>
            <w:sz w:val="24"/>
            <w:szCs w:val="24"/>
          </w:rPr>
          <w:t>https://www.tc.columbia.edu/organization-and-leadership/adult-learning-and-leadership/resources/essential-references/</w:t>
        </w:r>
      </w:hyperlink>
    </w:p>
    <w:p w14:paraId="3541F816" w14:textId="759FF436" w:rsidR="1C4A51D7" w:rsidRDefault="1C4A51D7" w:rsidP="1C4A51D7">
      <w:pPr>
        <w:rPr>
          <w:rFonts w:eastAsiaTheme="minorEastAsia"/>
          <w:sz w:val="24"/>
          <w:szCs w:val="24"/>
        </w:rPr>
      </w:pPr>
    </w:p>
    <w:p w14:paraId="08B7AD2D" w14:textId="05074791" w:rsidR="00DB4849" w:rsidRPr="0076776D" w:rsidRDefault="0076776D" w:rsidP="1C4A51D7">
      <w:pPr>
        <w:rPr>
          <w:rStyle w:val="Hyperlink"/>
          <w:rFonts w:eastAsiaTheme="minorEastAsia"/>
          <w:sz w:val="24"/>
          <w:szCs w:val="24"/>
        </w:rPr>
      </w:pPr>
      <w:r>
        <w:rPr>
          <w:rStyle w:val="ui-provider"/>
        </w:rPr>
        <w:fldChar w:fldCharType="begin"/>
      </w:r>
      <w:r>
        <w:rPr>
          <w:rStyle w:val="ui-provider"/>
        </w:rPr>
        <w:instrText>HYPERLINK "https://studentwpunj-my.sharepoint.com/:b:/g/personal/hilld_wpunj_edu/EfMdUyYS5fZOraTFRp3XOT0BQd-aU5ShUxcb56erFYUUug?e=NqbuX9"</w:instrText>
      </w:r>
      <w:r>
        <w:rPr>
          <w:rStyle w:val="ui-provider"/>
        </w:rPr>
      </w:r>
      <w:r>
        <w:rPr>
          <w:rStyle w:val="ui-provider"/>
        </w:rPr>
        <w:fldChar w:fldCharType="separate"/>
      </w:r>
      <w:r w:rsidR="00DB5C10" w:rsidRPr="0076776D">
        <w:rPr>
          <w:rStyle w:val="Hyperlink"/>
        </w:rPr>
        <w:t>Understanding the Adult Learner: An Examination of Current and Future Trends</w:t>
      </w:r>
    </w:p>
    <w:p w14:paraId="55B67800" w14:textId="489B8A87" w:rsidR="79646EC4" w:rsidRDefault="0076776D" w:rsidP="79646EC4">
      <w:pPr>
        <w:rPr>
          <w:rFonts w:eastAsiaTheme="minorEastAsia"/>
          <w:sz w:val="24"/>
          <w:szCs w:val="24"/>
        </w:rPr>
      </w:pPr>
      <w:r>
        <w:rPr>
          <w:rStyle w:val="ui-provider"/>
        </w:rPr>
        <w:fldChar w:fldCharType="end"/>
      </w:r>
    </w:p>
    <w:p w14:paraId="2211846D" w14:textId="541590D1" w:rsidR="00404791" w:rsidRDefault="00404791" w:rsidP="7DFBD1A2">
      <w:pPr>
        <w:pStyle w:val="Subtitle"/>
        <w:jc w:val="center"/>
        <w:rPr>
          <w:rStyle w:val="Heading2Char"/>
          <w:rFonts w:asciiTheme="minorHAnsi" w:eastAsiaTheme="minorEastAsia" w:hAnsiTheme="minorHAnsi" w:cstheme="minorBidi"/>
          <w:color w:val="000000" w:themeColor="text1"/>
          <w:sz w:val="32"/>
          <w:szCs w:val="32"/>
        </w:rPr>
      </w:pPr>
      <w:r w:rsidRPr="7DFBD1A2">
        <w:rPr>
          <w:rStyle w:val="Heading2Char"/>
          <w:rFonts w:asciiTheme="minorHAnsi" w:eastAsiaTheme="minorEastAsia" w:hAnsiTheme="minorHAnsi" w:cstheme="minorBidi"/>
          <w:b/>
          <w:color w:val="000000" w:themeColor="text1"/>
          <w:sz w:val="32"/>
          <w:szCs w:val="32"/>
        </w:rPr>
        <w:t>Short articles</w:t>
      </w:r>
      <w:r w:rsidRPr="7DFBD1A2">
        <w:rPr>
          <w:rStyle w:val="Heading2Char"/>
          <w:rFonts w:asciiTheme="minorHAnsi" w:eastAsiaTheme="minorEastAsia" w:hAnsiTheme="minorHAnsi" w:cstheme="minorBidi"/>
          <w:color w:val="000000" w:themeColor="text1"/>
          <w:sz w:val="32"/>
          <w:szCs w:val="32"/>
        </w:rPr>
        <w:t xml:space="preserve"> </w:t>
      </w:r>
    </w:p>
    <w:p w14:paraId="682739ED" w14:textId="153B432A" w:rsidR="7DFBD1A2" w:rsidRDefault="7DFBD1A2" w:rsidP="7DFBD1A2"/>
    <w:p w14:paraId="57558BD8" w14:textId="78022E99" w:rsidR="7DFBD1A2" w:rsidRDefault="62165E10" w:rsidP="7DFBD1A2">
      <w:r>
        <w:t>“</w:t>
      </w:r>
      <w:hyperlink r:id="rId11">
        <w:r w:rsidRPr="05E5772A">
          <w:rPr>
            <w:rStyle w:val="Hyperlink"/>
          </w:rPr>
          <w:t>Re-Enrolling Former Students</w:t>
        </w:r>
        <w:r w:rsidR="72269492" w:rsidRPr="05E5772A">
          <w:rPr>
            <w:rStyle w:val="Hyperlink"/>
          </w:rPr>
          <w:t>.</w:t>
        </w:r>
        <w:r w:rsidR="22924276" w:rsidRPr="05E5772A">
          <w:rPr>
            <w:rStyle w:val="Hyperlink"/>
          </w:rPr>
          <w:t>”</w:t>
        </w:r>
      </w:hyperlink>
      <w:r w:rsidR="22924276">
        <w:t xml:space="preserve"> </w:t>
      </w:r>
      <w:r w:rsidR="621E7F40" w:rsidRPr="05E5772A">
        <w:rPr>
          <w:i/>
          <w:iCs/>
        </w:rPr>
        <w:t>The Chronicle of Higher Education</w:t>
      </w:r>
      <w:r w:rsidR="621E7F40">
        <w:t>, 2023.</w:t>
      </w:r>
    </w:p>
    <w:p w14:paraId="0907E360" w14:textId="77777777" w:rsidR="00404791" w:rsidRPr="00404791" w:rsidRDefault="00404791" w:rsidP="00404791"/>
    <w:p w14:paraId="3FFAA77F" w14:textId="77777777" w:rsidR="00404791" w:rsidRPr="00404791" w:rsidRDefault="00404791" w:rsidP="00404791"/>
    <w:p w14:paraId="13D1FE29" w14:textId="784249EA" w:rsidR="00404791" w:rsidRPr="00404791" w:rsidRDefault="00404791" w:rsidP="7DFBD1A2">
      <w:pPr>
        <w:pStyle w:val="Heading2"/>
        <w:pBdr>
          <w:top w:val="single" w:sz="4" w:space="4" w:color="000000"/>
          <w:left w:val="single" w:sz="4" w:space="4" w:color="000000"/>
          <w:bottom w:val="single" w:sz="4" w:space="4" w:color="000000"/>
          <w:right w:val="single" w:sz="4" w:space="4" w:color="000000"/>
        </w:pBdr>
        <w:shd w:val="clear" w:color="auto" w:fill="B4C6E7" w:themeFill="accent1" w:themeFillTint="66"/>
        <w:jc w:val="center"/>
        <w:rPr>
          <w:b/>
          <w:color w:val="000000" w:themeColor="text1"/>
        </w:rPr>
      </w:pPr>
      <w:r w:rsidRPr="05E5772A">
        <w:rPr>
          <w:b/>
          <w:bCs/>
          <w:color w:val="000000" w:themeColor="text1"/>
        </w:rPr>
        <w:t>Annual Conferences</w:t>
      </w:r>
    </w:p>
    <w:p w14:paraId="18C776F2" w14:textId="29502E7D" w:rsidR="05E5772A" w:rsidRDefault="05E5772A" w:rsidP="05E5772A">
      <w:pPr>
        <w:jc w:val="center"/>
      </w:pPr>
    </w:p>
    <w:p w14:paraId="37196BD9" w14:textId="15CD8EB4" w:rsidR="00404791" w:rsidRDefault="3FC6B814" w:rsidP="5A73D56F">
      <w:pPr>
        <w:jc w:val="center"/>
      </w:pPr>
      <w:r>
        <w:rPr>
          <w:noProof/>
        </w:rPr>
        <w:lastRenderedPageBreak/>
        <w:drawing>
          <wp:inline distT="0" distB="0" distL="0" distR="0" wp14:anchorId="588B50E1" wp14:editId="362B2A6C">
            <wp:extent cx="3292125" cy="1237595"/>
            <wp:effectExtent l="0" t="0" r="0" b="0"/>
            <wp:docPr id="312877667" name="Picture 31287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877667"/>
                    <pic:cNvPicPr/>
                  </pic:nvPicPr>
                  <pic:blipFill>
                    <a:blip r:embed="rId12">
                      <a:extLst>
                        <a:ext uri="{28A0092B-C50C-407E-A947-70E740481C1C}">
                          <a14:useLocalDpi xmlns:a14="http://schemas.microsoft.com/office/drawing/2010/main" val="0"/>
                        </a:ext>
                      </a:extLst>
                    </a:blip>
                    <a:stretch>
                      <a:fillRect/>
                    </a:stretch>
                  </pic:blipFill>
                  <pic:spPr>
                    <a:xfrm>
                      <a:off x="0" y="0"/>
                      <a:ext cx="3292125" cy="1237595"/>
                    </a:xfrm>
                    <a:prstGeom prst="rect">
                      <a:avLst/>
                    </a:prstGeom>
                  </pic:spPr>
                </pic:pic>
              </a:graphicData>
            </a:graphic>
          </wp:inline>
        </w:drawing>
      </w:r>
    </w:p>
    <w:p w14:paraId="5D71C6C1" w14:textId="10C1E8E2" w:rsidR="04424DA9" w:rsidRDefault="04424DA9" w:rsidP="05E5772A">
      <w:pPr>
        <w:jc w:val="center"/>
      </w:pPr>
      <w:r>
        <w:rPr>
          <w:noProof/>
        </w:rPr>
        <w:drawing>
          <wp:inline distT="0" distB="0" distL="0" distR="0" wp14:anchorId="6C4E1198" wp14:editId="5B5E3BF9">
            <wp:extent cx="3020156" cy="3754140"/>
            <wp:effectExtent l="0" t="0" r="0" b="0"/>
            <wp:docPr id="2055430223" name="Picture 205543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020156" cy="3754140"/>
                    </a:xfrm>
                    <a:prstGeom prst="rect">
                      <a:avLst/>
                    </a:prstGeom>
                  </pic:spPr>
                </pic:pic>
              </a:graphicData>
            </a:graphic>
          </wp:inline>
        </w:drawing>
      </w:r>
    </w:p>
    <w:p w14:paraId="1092B7CB" w14:textId="77777777" w:rsidR="00404791" w:rsidRDefault="00404791" w:rsidP="00404791">
      <w:pPr>
        <w:pStyle w:val="Heading1"/>
        <w:rPr>
          <w:b/>
          <w:bCs/>
        </w:rPr>
      </w:pPr>
    </w:p>
    <w:p w14:paraId="68AB75DE" w14:textId="654B308F" w:rsidR="00404791" w:rsidRPr="00404791" w:rsidRDefault="00404791" w:rsidP="7DFBD1A2">
      <w:pPr>
        <w:pStyle w:val="Heading2"/>
        <w:pBdr>
          <w:top w:val="single" w:sz="4" w:space="4" w:color="000000"/>
          <w:left w:val="single" w:sz="4" w:space="4" w:color="000000"/>
          <w:bottom w:val="single" w:sz="4" w:space="4" w:color="000000"/>
          <w:right w:val="single" w:sz="4" w:space="4" w:color="000000"/>
        </w:pBdr>
        <w:shd w:val="clear" w:color="auto" w:fill="B4C6E7" w:themeFill="accent1" w:themeFillTint="66"/>
        <w:jc w:val="center"/>
        <w:rPr>
          <w:b/>
          <w:color w:val="000000" w:themeColor="text1"/>
        </w:rPr>
      </w:pPr>
      <w:r w:rsidRPr="05E5772A">
        <w:rPr>
          <w:b/>
          <w:bCs/>
          <w:color w:val="000000" w:themeColor="text1"/>
        </w:rPr>
        <w:t>Professional Associations</w:t>
      </w:r>
    </w:p>
    <w:p w14:paraId="28809D26" w14:textId="36B5626E" w:rsidR="05E5772A" w:rsidRDefault="05E5772A" w:rsidP="05E5772A">
      <w:pPr>
        <w:spacing w:after="0"/>
        <w:jc w:val="center"/>
        <w:rPr>
          <w:rFonts w:ascii="Calibri" w:eastAsia="Calibri" w:hAnsi="Calibri" w:cs="Calibri"/>
          <w:color w:val="467886"/>
          <w:sz w:val="24"/>
          <w:szCs w:val="24"/>
        </w:rPr>
      </w:pPr>
    </w:p>
    <w:p w14:paraId="3EFE2F1D" w14:textId="705F64CA" w:rsidR="00404791" w:rsidRDefault="0099446A" w:rsidP="05E5772A">
      <w:pPr>
        <w:spacing w:after="0"/>
        <w:jc w:val="center"/>
        <w:rPr>
          <w:rFonts w:ascii="Calibri" w:eastAsia="Calibri" w:hAnsi="Calibri" w:cs="Calibri"/>
          <w:sz w:val="24"/>
          <w:szCs w:val="24"/>
        </w:rPr>
      </w:pPr>
      <w:hyperlink r:id="rId14">
        <w:r w:rsidR="1432621B" w:rsidRPr="05E5772A">
          <w:rPr>
            <w:rStyle w:val="Hyperlink"/>
            <w:rFonts w:ascii="Calibri" w:eastAsia="Calibri" w:hAnsi="Calibri" w:cs="Calibri"/>
            <w:b/>
            <w:bCs/>
            <w:sz w:val="28"/>
            <w:szCs w:val="28"/>
          </w:rPr>
          <w:t>AAACE</w:t>
        </w:r>
      </w:hyperlink>
      <w:r w:rsidR="64741762" w:rsidRPr="05E5772A">
        <w:rPr>
          <w:rFonts w:ascii="Calibri" w:eastAsia="Calibri" w:hAnsi="Calibri" w:cs="Calibri"/>
          <w:b/>
          <w:bCs/>
          <w:sz w:val="28"/>
          <w:szCs w:val="28"/>
        </w:rPr>
        <w:t xml:space="preserve"> </w:t>
      </w:r>
      <w:r w:rsidR="1432621B" w:rsidRPr="05E5772A">
        <w:rPr>
          <w:rFonts w:ascii="Calibri" w:eastAsia="Calibri" w:hAnsi="Calibri" w:cs="Calibri"/>
          <w:b/>
          <w:bCs/>
          <w:sz w:val="24"/>
          <w:szCs w:val="24"/>
        </w:rPr>
        <w:t xml:space="preserve"> American Association for Adult and Continuing Education</w:t>
      </w:r>
    </w:p>
    <w:p w14:paraId="6484FF97" w14:textId="6E2B32C2" w:rsidR="05E5772A" w:rsidRDefault="05E5772A" w:rsidP="05E5772A">
      <w:pPr>
        <w:shd w:val="clear" w:color="auto" w:fill="FFFFFF" w:themeFill="background1"/>
        <w:spacing w:after="150"/>
        <w:rPr>
          <w:rFonts w:ascii="Calibri" w:eastAsia="Calibri" w:hAnsi="Calibri" w:cs="Calibri"/>
          <w:sz w:val="24"/>
          <w:szCs w:val="24"/>
        </w:rPr>
      </w:pPr>
    </w:p>
    <w:p w14:paraId="580D3FCF" w14:textId="6C18DD13" w:rsidR="00404791" w:rsidRDefault="398E3D61" w:rsidP="7DFBD1A2">
      <w:pPr>
        <w:shd w:val="clear" w:color="auto" w:fill="FFFFFF" w:themeFill="background1"/>
        <w:spacing w:after="150"/>
        <w:rPr>
          <w:rFonts w:ascii="Calibri" w:eastAsia="Calibri" w:hAnsi="Calibri" w:cs="Calibri"/>
          <w:color w:val="181818"/>
          <w:sz w:val="24"/>
          <w:szCs w:val="24"/>
        </w:rPr>
      </w:pPr>
      <w:r w:rsidRPr="7DFBD1A2">
        <w:rPr>
          <w:rFonts w:ascii="Calibri" w:eastAsia="Calibri" w:hAnsi="Calibri" w:cs="Calibri"/>
          <w:color w:val="181818"/>
          <w:sz w:val="24"/>
          <w:szCs w:val="24"/>
        </w:rPr>
        <w:t xml:space="preserve">The </w:t>
      </w:r>
      <w:hyperlink r:id="rId15">
        <w:r w:rsidRPr="7DFBD1A2">
          <w:rPr>
            <w:rStyle w:val="Hyperlink"/>
            <w:rFonts w:ascii="Calibri" w:eastAsia="Calibri" w:hAnsi="Calibri" w:cs="Calibri"/>
            <w:color w:val="282828"/>
            <w:sz w:val="24"/>
            <w:szCs w:val="24"/>
          </w:rPr>
          <w:t>mission</w:t>
        </w:r>
      </w:hyperlink>
      <w:r w:rsidRPr="7DFBD1A2">
        <w:rPr>
          <w:rFonts w:ascii="Calibri" w:eastAsia="Calibri" w:hAnsi="Calibri" w:cs="Calibri"/>
          <w:color w:val="181818"/>
          <w:sz w:val="24"/>
          <w:szCs w:val="24"/>
        </w:rPr>
        <w:t xml:space="preserve"> of the American Association for Adult and Continuing Education (AAACE) is to provide leadership for the field of adult and continuing education by expanding opportunities for adult growth and development; unifying adult educators; fostering the development and dissemination of theory, research, information, and best practices; promoting identity and standards for the profession; and advocating relevant public policy and social change initiatives.</w:t>
      </w:r>
    </w:p>
    <w:p w14:paraId="0162B890" w14:textId="4117A946" w:rsidR="00404791" w:rsidRDefault="00404791" w:rsidP="7DFBD1A2">
      <w:pPr>
        <w:shd w:val="clear" w:color="auto" w:fill="FFFFFF" w:themeFill="background1"/>
        <w:spacing w:after="150"/>
      </w:pPr>
    </w:p>
    <w:p w14:paraId="1BF765CE" w14:textId="2B1BC944" w:rsidR="00404791" w:rsidRDefault="0099446A" w:rsidP="7DFBD1A2">
      <w:pPr>
        <w:shd w:val="clear" w:color="auto" w:fill="FFFFFF" w:themeFill="background1"/>
        <w:spacing w:after="150"/>
        <w:rPr>
          <w:rFonts w:ascii="Calibri" w:eastAsia="Calibri" w:hAnsi="Calibri" w:cs="Calibri"/>
          <w:color w:val="181818"/>
          <w:sz w:val="24"/>
          <w:szCs w:val="24"/>
        </w:rPr>
      </w:pPr>
      <w:hyperlink r:id="rId16">
        <w:r w:rsidR="398E3D61" w:rsidRPr="7DFBD1A2">
          <w:rPr>
            <w:rStyle w:val="Hyperlink"/>
            <w:rFonts w:ascii="Calibri" w:eastAsia="Calibri" w:hAnsi="Calibri" w:cs="Calibri"/>
            <w:color w:val="282828"/>
            <w:sz w:val="24"/>
            <w:szCs w:val="24"/>
          </w:rPr>
          <w:t>Vision Statement</w:t>
        </w:r>
      </w:hyperlink>
      <w:r w:rsidR="398E3D61" w:rsidRPr="7DFBD1A2">
        <w:rPr>
          <w:rFonts w:ascii="Calibri" w:eastAsia="Calibri" w:hAnsi="Calibri" w:cs="Calibri"/>
          <w:color w:val="181818"/>
          <w:sz w:val="24"/>
          <w:szCs w:val="24"/>
        </w:rPr>
        <w:t>:  The American Association for Adult and Continuing Education (AAACE) is dedicated to the belief that lifelong learning contributes to human fulfillment and positive social change. We envision a more humane world made possible by the diverse practice of our members in helping adults acquire the knowledge, skills and values needed to lead productive and satisfying lives.</w:t>
      </w:r>
    </w:p>
    <w:p w14:paraId="14E7A716" w14:textId="46D0F1B0" w:rsidR="00404791" w:rsidRDefault="00404791" w:rsidP="7DFBD1A2">
      <w:pPr>
        <w:jc w:val="center"/>
        <w:rPr>
          <w:rStyle w:val="Heading2Char"/>
          <w:color w:val="000000" w:themeColor="text1"/>
          <w:sz w:val="32"/>
          <w:szCs w:val="32"/>
        </w:rPr>
      </w:pPr>
    </w:p>
    <w:p w14:paraId="5D299E65" w14:textId="67774E1B" w:rsidR="00404791" w:rsidRDefault="0099446A" w:rsidP="05E5772A">
      <w:pPr>
        <w:jc w:val="center"/>
        <w:rPr>
          <w:b/>
          <w:bCs/>
        </w:rPr>
      </w:pPr>
      <w:hyperlink r:id="rId17">
        <w:r w:rsidR="4B6638CC" w:rsidRPr="05E5772A">
          <w:rPr>
            <w:rStyle w:val="Hyperlink"/>
            <w:b/>
            <w:bCs/>
            <w:sz w:val="28"/>
            <w:szCs w:val="28"/>
          </w:rPr>
          <w:t>CAEL</w:t>
        </w:r>
      </w:hyperlink>
      <w:r w:rsidR="4B6638CC" w:rsidRPr="05E5772A">
        <w:rPr>
          <w:b/>
          <w:bCs/>
          <w:sz w:val="28"/>
          <w:szCs w:val="28"/>
        </w:rPr>
        <w:t xml:space="preserve"> </w:t>
      </w:r>
      <w:r w:rsidR="3F43775F" w:rsidRPr="05E5772A">
        <w:rPr>
          <w:b/>
          <w:bCs/>
          <w:sz w:val="24"/>
          <w:szCs w:val="24"/>
        </w:rPr>
        <w:t>Council for Adult and Experiential Learning</w:t>
      </w:r>
    </w:p>
    <w:p w14:paraId="5D03ED35" w14:textId="19C384EB" w:rsidR="00404791" w:rsidRDefault="14B004C2" w:rsidP="05E5772A">
      <w:pPr>
        <w:rPr>
          <w:rFonts w:eastAsiaTheme="minorEastAsia"/>
          <w:sz w:val="24"/>
          <w:szCs w:val="24"/>
        </w:rPr>
      </w:pPr>
      <w:r w:rsidRPr="05E5772A">
        <w:rPr>
          <w:u w:val="single"/>
        </w:rPr>
        <w:t>Mission</w:t>
      </w:r>
      <w:r w:rsidRPr="05E5772A">
        <w:rPr>
          <w:b/>
          <w:bCs/>
        </w:rPr>
        <w:t xml:space="preserve">- </w:t>
      </w:r>
      <w:r w:rsidRPr="05E5772A">
        <w:rPr>
          <w:rFonts w:ascii="Noto Sans" w:eastAsia="Noto Sans" w:hAnsi="Noto Sans" w:cs="Noto Sans"/>
          <w:color w:val="222326"/>
          <w:sz w:val="24"/>
          <w:szCs w:val="24"/>
        </w:rPr>
        <w:t>C</w:t>
      </w:r>
      <w:r w:rsidRPr="05E5772A">
        <w:rPr>
          <w:rFonts w:eastAsiaTheme="minorEastAsia"/>
          <w:color w:val="222326"/>
          <w:sz w:val="24"/>
          <w:szCs w:val="24"/>
        </w:rPr>
        <w:t>AEL engages with educators, employers, and community leaders to align learning and work so that adults achieve continuous, long-term career success.</w:t>
      </w:r>
    </w:p>
    <w:p w14:paraId="45332B48" w14:textId="2392966A" w:rsidR="1C7BC14C" w:rsidRDefault="1C7BC14C" w:rsidP="05E5772A">
      <w:pPr>
        <w:rPr>
          <w:rFonts w:eastAsiaTheme="minorEastAsia"/>
          <w:sz w:val="24"/>
          <w:szCs w:val="24"/>
        </w:rPr>
      </w:pPr>
      <w:r w:rsidRPr="05E5772A">
        <w:rPr>
          <w:rFonts w:eastAsiaTheme="minorEastAsia"/>
          <w:color w:val="222326"/>
          <w:sz w:val="24"/>
          <w:szCs w:val="24"/>
          <w:u w:val="single"/>
        </w:rPr>
        <w:t>Vision</w:t>
      </w:r>
      <w:r w:rsidRPr="05E5772A">
        <w:rPr>
          <w:rFonts w:eastAsiaTheme="minorEastAsia"/>
          <w:color w:val="222326"/>
          <w:sz w:val="24"/>
          <w:szCs w:val="24"/>
        </w:rPr>
        <w:t xml:space="preserve">- Every adult can navigate lifelong learning and career pathways that fuel economic mobility and community </w:t>
      </w:r>
      <w:proofErr w:type="gramStart"/>
      <w:r w:rsidRPr="05E5772A">
        <w:rPr>
          <w:rFonts w:eastAsiaTheme="minorEastAsia"/>
          <w:color w:val="222326"/>
          <w:sz w:val="24"/>
          <w:szCs w:val="24"/>
        </w:rPr>
        <w:t>prosperity</w:t>
      </w:r>
      <w:proofErr w:type="gramEnd"/>
    </w:p>
    <w:p w14:paraId="2F77B527" w14:textId="65F4B16E" w:rsidR="05E5772A" w:rsidRDefault="05E5772A" w:rsidP="05E5772A">
      <w:pPr>
        <w:rPr>
          <w:rFonts w:eastAsiaTheme="minorEastAsia"/>
          <w:color w:val="222326"/>
          <w:sz w:val="24"/>
          <w:szCs w:val="24"/>
        </w:rPr>
      </w:pPr>
    </w:p>
    <w:p w14:paraId="67143960" w14:textId="70A36CB9" w:rsidR="00404791" w:rsidRPr="00404791" w:rsidRDefault="00404791" w:rsidP="7DFBD1A2">
      <w:pPr>
        <w:pStyle w:val="Heading2"/>
        <w:pBdr>
          <w:top w:val="single" w:sz="4" w:space="4" w:color="000000"/>
          <w:left w:val="single" w:sz="4" w:space="4" w:color="000000"/>
          <w:bottom w:val="single" w:sz="4" w:space="4" w:color="000000"/>
          <w:right w:val="single" w:sz="4" w:space="4" w:color="000000"/>
        </w:pBdr>
        <w:shd w:val="clear" w:color="auto" w:fill="B4C6E7" w:themeFill="accent1" w:themeFillTint="66"/>
        <w:jc w:val="center"/>
        <w:rPr>
          <w:b/>
          <w:color w:val="000000" w:themeColor="text1"/>
        </w:rPr>
      </w:pPr>
      <w:r w:rsidRPr="7DFBD1A2">
        <w:rPr>
          <w:b/>
          <w:color w:val="000000" w:themeColor="text1"/>
        </w:rPr>
        <w:t>Articles</w:t>
      </w:r>
    </w:p>
    <w:p w14:paraId="645C888A" w14:textId="263DFD47" w:rsidR="7DFBD1A2" w:rsidRDefault="7DFBD1A2" w:rsidP="7DFBD1A2">
      <w:pPr>
        <w:pStyle w:val="Heading1"/>
        <w:rPr>
          <w:rFonts w:ascii="Calibri" w:eastAsia="Calibri" w:hAnsi="Calibri" w:cs="Calibri"/>
          <w:color w:val="0D0D0D" w:themeColor="text1" w:themeTint="F2"/>
          <w:sz w:val="24"/>
          <w:szCs w:val="24"/>
        </w:rPr>
      </w:pPr>
    </w:p>
    <w:p w14:paraId="4BDFE4BD" w14:textId="64F66BBB" w:rsidR="61D33716" w:rsidRDefault="61D33716" w:rsidP="0032171F">
      <w:pPr>
        <w:ind w:left="720" w:hanging="720"/>
        <w:rPr>
          <w:rFonts w:ascii="Calibri" w:eastAsia="Calibri" w:hAnsi="Calibri" w:cs="Calibri"/>
          <w:color w:val="0D0D0D" w:themeColor="text1" w:themeTint="F2"/>
          <w:sz w:val="24"/>
          <w:szCs w:val="24"/>
        </w:rPr>
      </w:pPr>
      <w:r w:rsidRPr="00CC19FE">
        <w:rPr>
          <w:rFonts w:ascii="Calibri" w:eastAsia="Calibri" w:hAnsi="Calibri" w:cs="Calibri"/>
          <w:color w:val="0D0D0D" w:themeColor="text1" w:themeTint="F2"/>
          <w:sz w:val="24"/>
          <w:szCs w:val="24"/>
        </w:rPr>
        <w:t xml:space="preserve">Blaschke, Lisa Marie. "Heutagogy and Lifelong Learning: A Review of </w:t>
      </w:r>
      <w:proofErr w:type="spellStart"/>
      <w:r w:rsidRPr="00CC19FE">
        <w:rPr>
          <w:rFonts w:ascii="Calibri" w:eastAsia="Calibri" w:hAnsi="Calibri" w:cs="Calibri"/>
          <w:color w:val="0D0D0D" w:themeColor="text1" w:themeTint="F2"/>
          <w:sz w:val="24"/>
          <w:szCs w:val="24"/>
        </w:rPr>
        <w:t>Heutagogical</w:t>
      </w:r>
      <w:proofErr w:type="spellEnd"/>
      <w:r w:rsidRPr="00CC19FE">
        <w:rPr>
          <w:rFonts w:ascii="Calibri" w:eastAsia="Calibri" w:hAnsi="Calibri" w:cs="Calibri"/>
          <w:color w:val="0D0D0D" w:themeColor="text1" w:themeTint="F2"/>
          <w:sz w:val="24"/>
          <w:szCs w:val="24"/>
        </w:rPr>
        <w:t xml:space="preserve"> Practice and Self-Determined Learning." </w:t>
      </w:r>
      <w:r w:rsidRPr="00CC19FE">
        <w:rPr>
          <w:rFonts w:ascii="Calibri" w:eastAsia="Calibri" w:hAnsi="Calibri" w:cs="Calibri"/>
          <w:i/>
          <w:iCs/>
          <w:color w:val="0D0D0D" w:themeColor="text1" w:themeTint="F2"/>
          <w:sz w:val="24"/>
          <w:szCs w:val="24"/>
        </w:rPr>
        <w:t>International Review of Research in Open and Distance Learning</w:t>
      </w:r>
      <w:r w:rsidRPr="00CC19FE">
        <w:rPr>
          <w:rFonts w:ascii="Calibri" w:eastAsia="Calibri" w:hAnsi="Calibri" w:cs="Calibri"/>
          <w:color w:val="0D0D0D" w:themeColor="text1" w:themeTint="F2"/>
          <w:sz w:val="24"/>
          <w:szCs w:val="24"/>
        </w:rPr>
        <w:t>, vol. 13, no. 1, 2012, pp. 56-71. doi:10.19173/</w:t>
      </w:r>
      <w:proofErr w:type="gramStart"/>
      <w:r w:rsidRPr="00CC19FE">
        <w:rPr>
          <w:rFonts w:ascii="Calibri" w:eastAsia="Calibri" w:hAnsi="Calibri" w:cs="Calibri"/>
          <w:color w:val="0D0D0D" w:themeColor="text1" w:themeTint="F2"/>
          <w:sz w:val="24"/>
          <w:szCs w:val="24"/>
        </w:rPr>
        <w:t>irrodl.v</w:t>
      </w:r>
      <w:proofErr w:type="gramEnd"/>
      <w:r w:rsidRPr="00CC19FE">
        <w:rPr>
          <w:rFonts w:ascii="Calibri" w:eastAsia="Calibri" w:hAnsi="Calibri" w:cs="Calibri"/>
          <w:color w:val="0D0D0D" w:themeColor="text1" w:themeTint="F2"/>
          <w:sz w:val="24"/>
          <w:szCs w:val="24"/>
        </w:rPr>
        <w:t>13i1.1076.</w:t>
      </w:r>
      <w:r w:rsidR="008C57C4" w:rsidRPr="00CC19FE">
        <w:rPr>
          <w:rFonts w:ascii="Calibri" w:eastAsia="Calibri" w:hAnsi="Calibri" w:cs="Calibri"/>
          <w:color w:val="0D0D0D" w:themeColor="text1" w:themeTint="F2"/>
          <w:sz w:val="24"/>
          <w:szCs w:val="24"/>
        </w:rPr>
        <w:t xml:space="preserve"> </w:t>
      </w:r>
      <w:hyperlink r:id="rId18" w:history="1">
        <w:r w:rsidR="008C57C4" w:rsidRPr="00CC19FE">
          <w:rPr>
            <w:rStyle w:val="Hyperlink"/>
            <w:rFonts w:ascii="Calibri" w:eastAsia="Calibri" w:hAnsi="Calibri" w:cs="Calibri"/>
            <w:sz w:val="24"/>
            <w:szCs w:val="24"/>
          </w:rPr>
          <w:t>Link</w:t>
        </w:r>
      </w:hyperlink>
    </w:p>
    <w:p w14:paraId="1357C493" w14:textId="77777777" w:rsidR="0074269A" w:rsidRDefault="0074269A" w:rsidP="00CB7D34">
      <w:pPr>
        <w:spacing w:line="240" w:lineRule="auto"/>
        <w:ind w:left="720" w:hanging="720"/>
        <w:rPr>
          <w:rFonts w:ascii="Calibri" w:eastAsia="Calibri" w:hAnsi="Calibri" w:cs="Calibri"/>
          <w:sz w:val="24"/>
          <w:szCs w:val="24"/>
        </w:rPr>
      </w:pPr>
    </w:p>
    <w:p w14:paraId="1D4D96EE" w14:textId="15450183" w:rsidR="00CB7D34" w:rsidRPr="00CB7D34" w:rsidRDefault="00CB7D34" w:rsidP="00CB7D34">
      <w:pPr>
        <w:spacing w:line="240" w:lineRule="auto"/>
        <w:ind w:left="720" w:hanging="720"/>
        <w:rPr>
          <w:rFonts w:ascii="Calibri" w:eastAsia="Calibri" w:hAnsi="Calibri" w:cs="Calibri"/>
          <w:sz w:val="24"/>
          <w:szCs w:val="24"/>
        </w:rPr>
      </w:pPr>
      <w:proofErr w:type="spellStart"/>
      <w:r w:rsidRPr="00CC19FE">
        <w:rPr>
          <w:rFonts w:ascii="Calibri" w:eastAsia="Calibri" w:hAnsi="Calibri" w:cs="Calibri"/>
          <w:sz w:val="24"/>
          <w:szCs w:val="24"/>
        </w:rPr>
        <w:t>Boghian</w:t>
      </w:r>
      <w:proofErr w:type="spellEnd"/>
      <w:r w:rsidRPr="00CC19FE">
        <w:rPr>
          <w:rFonts w:ascii="Calibri" w:eastAsia="Calibri" w:hAnsi="Calibri" w:cs="Calibri"/>
          <w:sz w:val="24"/>
          <w:szCs w:val="24"/>
        </w:rPr>
        <w:t>, Ioanna, et al. “</w:t>
      </w:r>
      <w:r w:rsidRPr="00CC19FE">
        <w:rPr>
          <w:sz w:val="24"/>
          <w:szCs w:val="24"/>
        </w:rPr>
        <w:t xml:space="preserve">Illustrations of Best Practices in Building Creativity Skills in Adult Learners.” </w:t>
      </w:r>
      <w:r w:rsidRPr="00CC19FE">
        <w:rPr>
          <w:i/>
          <w:iCs/>
          <w:sz w:val="24"/>
          <w:szCs w:val="24"/>
        </w:rPr>
        <w:t>Journal of Innovation in Psychology, Education and Didactics</w:t>
      </w:r>
      <w:r w:rsidRPr="00CC19FE">
        <w:rPr>
          <w:sz w:val="24"/>
          <w:szCs w:val="24"/>
        </w:rPr>
        <w:t xml:space="preserve">, vol. 26, no. 1, pp 87-106. </w:t>
      </w:r>
      <w:hyperlink r:id="rId19" w:history="1">
        <w:r w:rsidRPr="00CC19FE">
          <w:rPr>
            <w:rStyle w:val="Hyperlink"/>
            <w:sz w:val="24"/>
            <w:szCs w:val="24"/>
          </w:rPr>
          <w:t>Link</w:t>
        </w:r>
      </w:hyperlink>
    </w:p>
    <w:p w14:paraId="71F32050" w14:textId="6DEB7344" w:rsidR="00C7164D" w:rsidRDefault="00C945CF" w:rsidP="0032171F">
      <w:pPr>
        <w:pStyle w:val="Heading1"/>
        <w:ind w:left="720" w:hanging="720"/>
        <w:rPr>
          <w:rStyle w:val="ui-provider"/>
          <w:rFonts w:asciiTheme="minorHAnsi" w:hAnsiTheme="minorHAnsi" w:cstheme="minorHAnsi"/>
          <w:color w:val="000000" w:themeColor="text1"/>
          <w:sz w:val="24"/>
          <w:szCs w:val="24"/>
        </w:rPr>
      </w:pPr>
      <w:r w:rsidRPr="00CC19FE">
        <w:rPr>
          <w:rFonts w:asciiTheme="minorHAnsi" w:eastAsia="Calibri" w:hAnsiTheme="minorHAnsi" w:cstheme="minorHAnsi"/>
          <w:color w:val="000000" w:themeColor="text1"/>
          <w:sz w:val="24"/>
          <w:szCs w:val="24"/>
          <w:shd w:val="clear" w:color="auto" w:fill="FFFFFF"/>
        </w:rPr>
        <w:t>Chang</w:t>
      </w:r>
      <w:r w:rsidR="00195F26" w:rsidRPr="00CC19FE">
        <w:rPr>
          <w:rFonts w:asciiTheme="minorHAnsi" w:eastAsia="Calibri" w:hAnsiTheme="minorHAnsi" w:cstheme="minorHAnsi"/>
          <w:color w:val="000000" w:themeColor="text1"/>
          <w:sz w:val="24"/>
          <w:szCs w:val="24"/>
          <w:shd w:val="clear" w:color="auto" w:fill="FFFFFF"/>
        </w:rPr>
        <w:t>, Sang</w:t>
      </w:r>
      <w:r w:rsidR="00B35CAF" w:rsidRPr="00CC19FE">
        <w:rPr>
          <w:rFonts w:asciiTheme="minorHAnsi" w:eastAsia="Calibri" w:hAnsiTheme="minorHAnsi" w:cstheme="minorHAnsi"/>
          <w:color w:val="000000" w:themeColor="text1"/>
          <w:sz w:val="24"/>
          <w:szCs w:val="24"/>
          <w:shd w:val="clear" w:color="auto" w:fill="FFFFFF"/>
        </w:rPr>
        <w:t xml:space="preserve">. </w:t>
      </w:r>
      <w:r w:rsidR="000A5DE1" w:rsidRPr="00CC19FE">
        <w:rPr>
          <w:rFonts w:asciiTheme="minorHAnsi" w:eastAsia="Calibri" w:hAnsiTheme="minorHAnsi" w:cstheme="minorHAnsi"/>
          <w:color w:val="000000" w:themeColor="text1"/>
          <w:sz w:val="24"/>
          <w:szCs w:val="24"/>
          <w:shd w:val="clear" w:color="auto" w:fill="FFFFFF"/>
        </w:rPr>
        <w:t>“</w:t>
      </w:r>
      <w:r w:rsidR="00B35CAF" w:rsidRPr="00CC19FE">
        <w:rPr>
          <w:rStyle w:val="ui-provider"/>
          <w:rFonts w:asciiTheme="minorHAnsi" w:hAnsiTheme="minorHAnsi" w:cstheme="minorHAnsi"/>
          <w:color w:val="000000" w:themeColor="text1"/>
          <w:sz w:val="24"/>
          <w:szCs w:val="24"/>
        </w:rPr>
        <w:t>Applications of Andragogy in Multi-Disciplined Teaching and Learning</w:t>
      </w:r>
      <w:r w:rsidR="000A5DE1" w:rsidRPr="00CC19FE">
        <w:rPr>
          <w:rStyle w:val="ui-provider"/>
          <w:rFonts w:asciiTheme="minorHAnsi" w:hAnsiTheme="minorHAnsi" w:cstheme="minorHAnsi"/>
          <w:color w:val="000000" w:themeColor="text1"/>
          <w:sz w:val="24"/>
          <w:szCs w:val="24"/>
        </w:rPr>
        <w:t xml:space="preserve">.” </w:t>
      </w:r>
      <w:r w:rsidR="000A5DE1" w:rsidRPr="00CC19FE">
        <w:rPr>
          <w:rStyle w:val="ui-provider"/>
          <w:rFonts w:asciiTheme="minorHAnsi" w:hAnsiTheme="minorHAnsi" w:cstheme="minorHAnsi"/>
          <w:i/>
          <w:iCs/>
          <w:color w:val="000000" w:themeColor="text1"/>
          <w:sz w:val="24"/>
          <w:szCs w:val="24"/>
        </w:rPr>
        <w:t xml:space="preserve">Journal of Adult </w:t>
      </w:r>
      <w:r w:rsidR="005A24EB" w:rsidRPr="00CC19FE">
        <w:rPr>
          <w:rStyle w:val="ui-provider"/>
          <w:rFonts w:asciiTheme="minorHAnsi" w:hAnsiTheme="minorHAnsi" w:cstheme="minorHAnsi"/>
          <w:i/>
          <w:iCs/>
          <w:color w:val="000000" w:themeColor="text1"/>
          <w:sz w:val="24"/>
          <w:szCs w:val="24"/>
        </w:rPr>
        <w:t>Education</w:t>
      </w:r>
      <w:r w:rsidR="000A5DE1" w:rsidRPr="00CC19FE">
        <w:rPr>
          <w:rStyle w:val="ui-provider"/>
          <w:rFonts w:asciiTheme="minorHAnsi" w:hAnsiTheme="minorHAnsi" w:cstheme="minorHAnsi"/>
          <w:color w:val="000000" w:themeColor="text1"/>
          <w:sz w:val="24"/>
          <w:szCs w:val="24"/>
        </w:rPr>
        <w:t>, vol.</w:t>
      </w:r>
      <w:r w:rsidR="00030CC1" w:rsidRPr="00CC19FE">
        <w:rPr>
          <w:rStyle w:val="ui-provider"/>
          <w:rFonts w:asciiTheme="minorHAnsi" w:hAnsiTheme="minorHAnsi" w:cstheme="minorHAnsi"/>
          <w:color w:val="000000" w:themeColor="text1"/>
          <w:sz w:val="24"/>
          <w:szCs w:val="24"/>
        </w:rPr>
        <w:t>39, no.2, 2010, pp. 24-35</w:t>
      </w:r>
      <w:r w:rsidR="004378CE" w:rsidRPr="00CC19FE">
        <w:rPr>
          <w:rStyle w:val="ui-provider"/>
          <w:rFonts w:asciiTheme="minorHAnsi" w:hAnsiTheme="minorHAnsi" w:cstheme="minorHAnsi"/>
          <w:color w:val="000000" w:themeColor="text1"/>
          <w:sz w:val="24"/>
          <w:szCs w:val="24"/>
        </w:rPr>
        <w:t xml:space="preserve">. </w:t>
      </w:r>
      <w:hyperlink r:id="rId20" w:history="1">
        <w:r w:rsidR="004378CE" w:rsidRPr="00CC19FE">
          <w:rPr>
            <w:rStyle w:val="Hyperlink"/>
            <w:rFonts w:asciiTheme="minorHAnsi" w:hAnsiTheme="minorHAnsi" w:cstheme="minorHAnsi"/>
            <w:sz w:val="24"/>
            <w:szCs w:val="24"/>
          </w:rPr>
          <w:t>Link</w:t>
        </w:r>
      </w:hyperlink>
    </w:p>
    <w:p w14:paraId="508C2788" w14:textId="77777777" w:rsidR="0032171F" w:rsidRPr="0032171F" w:rsidRDefault="0032171F" w:rsidP="0032171F"/>
    <w:p w14:paraId="0D22C2C8" w14:textId="50225CFD" w:rsidR="009400BA" w:rsidRPr="00CC19FE" w:rsidRDefault="009400BA" w:rsidP="0032171F">
      <w:pPr>
        <w:ind w:left="720" w:hanging="720"/>
        <w:rPr>
          <w:sz w:val="24"/>
          <w:szCs w:val="24"/>
        </w:rPr>
      </w:pPr>
      <w:r w:rsidRPr="00CC19FE">
        <w:rPr>
          <w:sz w:val="24"/>
          <w:szCs w:val="24"/>
        </w:rPr>
        <w:t>Diep, Nguye</w:t>
      </w:r>
      <w:r w:rsidR="00C7164D" w:rsidRPr="00CC19FE">
        <w:rPr>
          <w:sz w:val="24"/>
          <w:szCs w:val="24"/>
        </w:rPr>
        <w:t>t A., et al. “Predicting Au</w:t>
      </w:r>
      <w:proofErr w:type="spellStart"/>
      <w:r w:rsidR="00C7164D" w:rsidRPr="00CC19FE">
        <w:rPr>
          <w:sz w:val="24"/>
          <w:szCs w:val="24"/>
        </w:rPr>
        <w:t>dl</w:t>
      </w:r>
      <w:proofErr w:type="spellEnd"/>
      <w:r w:rsidR="00C7164D" w:rsidRPr="00CC19FE">
        <w:rPr>
          <w:sz w:val="24"/>
          <w:szCs w:val="24"/>
        </w:rPr>
        <w:t xml:space="preserve"> </w:t>
      </w:r>
      <w:proofErr w:type="spellStart"/>
      <w:r w:rsidR="00C7164D" w:rsidRPr="00CC19FE">
        <w:rPr>
          <w:sz w:val="24"/>
          <w:szCs w:val="24"/>
        </w:rPr>
        <w:t>Learners´online</w:t>
      </w:r>
      <w:proofErr w:type="spellEnd"/>
      <w:r w:rsidR="00C7164D" w:rsidRPr="00CC19FE">
        <w:rPr>
          <w:sz w:val="24"/>
          <w:szCs w:val="24"/>
        </w:rPr>
        <w:t xml:space="preserve"> participation: Effects of altruism, performance expectancy, and social capital.” </w:t>
      </w:r>
      <w:r w:rsidR="002D18CE" w:rsidRPr="00CC19FE">
        <w:rPr>
          <w:i/>
          <w:iCs/>
          <w:sz w:val="24"/>
          <w:szCs w:val="24"/>
        </w:rPr>
        <w:t>Computers and Education</w:t>
      </w:r>
      <w:r w:rsidR="002D18CE" w:rsidRPr="00CC19FE">
        <w:rPr>
          <w:sz w:val="24"/>
          <w:szCs w:val="24"/>
        </w:rPr>
        <w:t xml:space="preserve">, vol. 101, Oct. 2016, </w:t>
      </w:r>
      <w:r w:rsidR="002E02C2" w:rsidRPr="00CC19FE">
        <w:rPr>
          <w:sz w:val="24"/>
          <w:szCs w:val="24"/>
        </w:rPr>
        <w:t xml:space="preserve">pp. 84-101. </w:t>
      </w:r>
      <w:hyperlink r:id="rId21" w:history="1">
        <w:r w:rsidR="002E02C2" w:rsidRPr="00CC19FE">
          <w:rPr>
            <w:rStyle w:val="Hyperlink"/>
            <w:sz w:val="24"/>
            <w:szCs w:val="24"/>
          </w:rPr>
          <w:t>Link</w:t>
        </w:r>
      </w:hyperlink>
    </w:p>
    <w:p w14:paraId="4D7C2BCB" w14:textId="311140B8" w:rsidR="00404791" w:rsidRPr="00CC19FE" w:rsidRDefault="001945D5" w:rsidP="0032171F">
      <w:pPr>
        <w:pStyle w:val="Heading1"/>
        <w:ind w:left="720" w:hanging="720"/>
        <w:rPr>
          <w:rFonts w:ascii="Calibri" w:eastAsia="Calibri" w:hAnsi="Calibri" w:cs="Calibri"/>
          <w:color w:val="0D0D0D" w:themeColor="text1" w:themeTint="F2"/>
          <w:sz w:val="24"/>
          <w:szCs w:val="24"/>
        </w:rPr>
      </w:pPr>
      <w:r w:rsidRPr="00CC19FE">
        <w:rPr>
          <w:rFonts w:ascii="Calibri" w:eastAsia="Calibri" w:hAnsi="Calibri" w:cs="Calibri"/>
          <w:color w:val="0D0D0D"/>
          <w:sz w:val="24"/>
          <w:szCs w:val="24"/>
          <w:shd w:val="clear" w:color="auto" w:fill="FFFFFF"/>
        </w:rPr>
        <w:t xml:space="preserve">Fornaciari, C. J., and Lund Dean, K. "The 21st-Century Syllabus: From Pedagogy to Andragogy.” </w:t>
      </w:r>
      <w:r w:rsidRPr="00CC19FE">
        <w:rPr>
          <w:rFonts w:ascii="Calibri" w:eastAsia="Calibri" w:hAnsi="Calibri" w:cs="Calibri"/>
          <w:i/>
          <w:color w:val="0D0D0D"/>
          <w:sz w:val="24"/>
          <w:szCs w:val="24"/>
          <w:shd w:val="clear" w:color="auto" w:fill="FFFFFF"/>
        </w:rPr>
        <w:t>Journal of Management Education</w:t>
      </w:r>
      <w:r w:rsidRPr="00CC19FE">
        <w:rPr>
          <w:rFonts w:ascii="Calibri" w:eastAsia="Calibri" w:hAnsi="Calibri" w:cs="Calibri"/>
          <w:color w:val="0D0D0D"/>
          <w:sz w:val="24"/>
          <w:szCs w:val="24"/>
          <w:shd w:val="clear" w:color="auto" w:fill="FFFFFF"/>
        </w:rPr>
        <w:t>, vol. 38, no. 5, 2014, pp. 701-723. doi:10.1177/1052562913504763.</w:t>
      </w:r>
      <w:r w:rsidR="00D930CA" w:rsidRPr="00CC19FE">
        <w:rPr>
          <w:rFonts w:ascii="Calibri" w:eastAsia="Calibri" w:hAnsi="Calibri" w:cs="Calibri"/>
          <w:color w:val="0D0D0D"/>
          <w:sz w:val="24"/>
          <w:szCs w:val="24"/>
          <w:shd w:val="clear" w:color="auto" w:fill="FFFFFF"/>
        </w:rPr>
        <w:t xml:space="preserve"> </w:t>
      </w:r>
      <w:hyperlink r:id="rId22" w:history="1">
        <w:r w:rsidR="00D930CA" w:rsidRPr="00CC19FE">
          <w:rPr>
            <w:rStyle w:val="Hyperlink"/>
            <w:rFonts w:ascii="Calibri" w:eastAsia="Calibri" w:hAnsi="Calibri" w:cs="Calibri"/>
            <w:sz w:val="24"/>
            <w:szCs w:val="24"/>
            <w:shd w:val="clear" w:color="auto" w:fill="FFFFFF"/>
          </w:rPr>
          <w:t>link</w:t>
        </w:r>
      </w:hyperlink>
    </w:p>
    <w:p w14:paraId="109690CE" w14:textId="7BD4883E" w:rsidR="003F0435" w:rsidRPr="00CC19FE" w:rsidRDefault="003F0435" w:rsidP="0032171F">
      <w:pPr>
        <w:ind w:left="720" w:hanging="720"/>
        <w:rPr>
          <w:rFonts w:ascii="Calibri" w:eastAsia="Calibri" w:hAnsi="Calibri" w:cs="Calibri"/>
          <w:sz w:val="24"/>
          <w:szCs w:val="24"/>
        </w:rPr>
      </w:pPr>
    </w:p>
    <w:p w14:paraId="74C1EF08" w14:textId="318208E8" w:rsidR="00404791" w:rsidRPr="00CC19FE" w:rsidRDefault="46E0F5A4" w:rsidP="0032171F">
      <w:pPr>
        <w:spacing w:line="240" w:lineRule="auto"/>
        <w:ind w:left="720" w:hanging="720"/>
        <w:rPr>
          <w:rFonts w:ascii="Calibri" w:eastAsia="Calibri" w:hAnsi="Calibri" w:cs="Calibri"/>
          <w:sz w:val="24"/>
          <w:szCs w:val="24"/>
        </w:rPr>
      </w:pPr>
      <w:r w:rsidRPr="00CC19FE">
        <w:rPr>
          <w:rFonts w:ascii="Calibri" w:eastAsia="Calibri" w:hAnsi="Calibri" w:cs="Calibri"/>
          <w:sz w:val="24"/>
          <w:szCs w:val="24"/>
        </w:rPr>
        <w:t>Harnish, Richard J., et al. "Creating the Foundation for a Warm Classroom Climate." Observer, vol. 24, no. 1, January 2011</w:t>
      </w:r>
      <w:r w:rsidR="006D2C6A" w:rsidRPr="00CC19FE">
        <w:rPr>
          <w:rFonts w:ascii="Calibri" w:eastAsia="Calibri" w:hAnsi="Calibri" w:cs="Calibri"/>
          <w:sz w:val="24"/>
          <w:szCs w:val="24"/>
        </w:rPr>
        <w:t xml:space="preserve">. </w:t>
      </w:r>
      <w:r w:rsidRPr="00CC19FE">
        <w:rPr>
          <w:rFonts w:ascii="Calibri" w:eastAsia="Calibri" w:hAnsi="Calibri" w:cs="Calibri"/>
          <w:sz w:val="24"/>
          <w:szCs w:val="24"/>
        </w:rPr>
        <w:t xml:space="preserve"> </w:t>
      </w:r>
      <w:hyperlink r:id="rId23" w:history="1">
        <w:r w:rsidR="00D525A2" w:rsidRPr="00CC19FE">
          <w:rPr>
            <w:rStyle w:val="Hyperlink"/>
            <w:rFonts w:ascii="Calibri" w:eastAsia="Calibri" w:hAnsi="Calibri" w:cs="Calibri"/>
            <w:sz w:val="24"/>
            <w:szCs w:val="24"/>
          </w:rPr>
          <w:t>link</w:t>
        </w:r>
      </w:hyperlink>
    </w:p>
    <w:p w14:paraId="1F3874DE" w14:textId="12B4F33E" w:rsidR="00A02737" w:rsidRPr="00CC19FE" w:rsidRDefault="00A02737" w:rsidP="0032171F">
      <w:pPr>
        <w:spacing w:line="240" w:lineRule="auto"/>
        <w:ind w:left="720" w:hanging="720"/>
        <w:rPr>
          <w:rFonts w:ascii="Calibri" w:eastAsia="Calibri" w:hAnsi="Calibri" w:cs="Calibri"/>
          <w:sz w:val="24"/>
          <w:szCs w:val="24"/>
        </w:rPr>
      </w:pPr>
      <w:r w:rsidRPr="00CC19FE">
        <w:rPr>
          <w:rStyle w:val="ui-provider"/>
          <w:sz w:val="24"/>
          <w:szCs w:val="24"/>
        </w:rPr>
        <w:t>Lewis,</w:t>
      </w:r>
      <w:r w:rsidR="0089056D" w:rsidRPr="00CC19FE">
        <w:rPr>
          <w:rStyle w:val="ui-provider"/>
          <w:sz w:val="24"/>
          <w:szCs w:val="24"/>
        </w:rPr>
        <w:t xml:space="preserve"> </w:t>
      </w:r>
      <w:proofErr w:type="gramStart"/>
      <w:r w:rsidR="0089056D" w:rsidRPr="00CC19FE">
        <w:rPr>
          <w:rStyle w:val="ui-provider"/>
          <w:sz w:val="24"/>
          <w:szCs w:val="24"/>
        </w:rPr>
        <w:t>Nicole</w:t>
      </w:r>
      <w:proofErr w:type="gramEnd"/>
      <w:r w:rsidR="0089056D" w:rsidRPr="00CC19FE">
        <w:rPr>
          <w:rStyle w:val="ui-provider"/>
          <w:sz w:val="24"/>
          <w:szCs w:val="24"/>
        </w:rPr>
        <w:t xml:space="preserve"> and </w:t>
      </w:r>
      <w:r w:rsidRPr="00CC19FE">
        <w:rPr>
          <w:rStyle w:val="ui-provider"/>
          <w:sz w:val="24"/>
          <w:szCs w:val="24"/>
        </w:rPr>
        <w:t>Venise Bryan</w:t>
      </w:r>
      <w:r w:rsidR="00BB65A2" w:rsidRPr="00CC19FE">
        <w:rPr>
          <w:sz w:val="24"/>
          <w:szCs w:val="24"/>
        </w:rPr>
        <w:t>. “</w:t>
      </w:r>
      <w:r w:rsidR="00BB65A2" w:rsidRPr="00CC19FE">
        <w:rPr>
          <w:rStyle w:val="ui-provider"/>
          <w:sz w:val="24"/>
          <w:szCs w:val="24"/>
        </w:rPr>
        <w:t>Andragogy and teaching techniques to enhance adult</w:t>
      </w:r>
      <w:r w:rsidR="00BB65A2" w:rsidRPr="00CC19FE">
        <w:rPr>
          <w:sz w:val="24"/>
          <w:szCs w:val="24"/>
        </w:rPr>
        <w:br/>
      </w:r>
      <w:r w:rsidR="00BB65A2" w:rsidRPr="00CC19FE">
        <w:rPr>
          <w:rStyle w:val="ui-provider"/>
          <w:sz w:val="24"/>
          <w:szCs w:val="24"/>
        </w:rPr>
        <w:t>learners’ experience</w:t>
      </w:r>
      <w:r w:rsidR="000B3C4B" w:rsidRPr="00CC19FE">
        <w:rPr>
          <w:rStyle w:val="ui-provider"/>
          <w:sz w:val="24"/>
          <w:szCs w:val="24"/>
        </w:rPr>
        <w:t>.</w:t>
      </w:r>
      <w:r w:rsidR="00BB65A2" w:rsidRPr="00CC19FE">
        <w:rPr>
          <w:rStyle w:val="ui-provider"/>
          <w:sz w:val="24"/>
          <w:szCs w:val="24"/>
        </w:rPr>
        <w:t xml:space="preserve">” </w:t>
      </w:r>
      <w:r w:rsidR="000B3C4B" w:rsidRPr="00CC19FE">
        <w:rPr>
          <w:rStyle w:val="ui-provider"/>
          <w:sz w:val="24"/>
          <w:szCs w:val="24"/>
        </w:rPr>
        <w:t xml:space="preserve"> Journa</w:t>
      </w:r>
      <w:r w:rsidR="007D37E2" w:rsidRPr="00CC19FE">
        <w:rPr>
          <w:rStyle w:val="ui-provider"/>
          <w:sz w:val="24"/>
          <w:szCs w:val="24"/>
        </w:rPr>
        <w:t xml:space="preserve">l of Nursing Education and Practice. </w:t>
      </w:r>
      <w:r w:rsidRPr="00CC19FE">
        <w:rPr>
          <w:rStyle w:val="ui-provider"/>
          <w:sz w:val="24"/>
          <w:szCs w:val="24"/>
        </w:rPr>
        <w:t>July 14, 2021</w:t>
      </w:r>
      <w:r w:rsidR="006D2C6A" w:rsidRPr="00CC19FE">
        <w:rPr>
          <w:rStyle w:val="ui-provider"/>
          <w:sz w:val="24"/>
          <w:szCs w:val="24"/>
        </w:rPr>
        <w:t>.</w:t>
      </w:r>
      <w:r w:rsidR="00D34B58" w:rsidRPr="00CC19FE">
        <w:rPr>
          <w:rStyle w:val="ui-provider"/>
          <w:sz w:val="24"/>
          <w:szCs w:val="24"/>
        </w:rPr>
        <w:t xml:space="preserve"> </w:t>
      </w:r>
      <w:hyperlink r:id="rId24" w:history="1">
        <w:r w:rsidR="00D34B58" w:rsidRPr="00CC19FE">
          <w:rPr>
            <w:rStyle w:val="Hyperlink"/>
            <w:sz w:val="24"/>
            <w:szCs w:val="24"/>
          </w:rPr>
          <w:t>Link</w:t>
        </w:r>
      </w:hyperlink>
    </w:p>
    <w:p w14:paraId="063F48E6" w14:textId="59EEB053" w:rsidR="003F0435" w:rsidRPr="00CC19FE" w:rsidRDefault="003F0435" w:rsidP="0032171F">
      <w:pPr>
        <w:spacing w:line="240" w:lineRule="auto"/>
        <w:ind w:left="720" w:hanging="720"/>
        <w:rPr>
          <w:rFonts w:ascii="Calibri" w:eastAsia="Calibri" w:hAnsi="Calibri" w:cs="Calibri"/>
          <w:sz w:val="24"/>
          <w:szCs w:val="24"/>
        </w:rPr>
      </w:pPr>
      <w:r w:rsidRPr="00CC19FE">
        <w:rPr>
          <w:rFonts w:ascii="Calibri" w:eastAsia="Calibri" w:hAnsi="Calibri" w:cs="Calibri"/>
          <w:sz w:val="24"/>
          <w:szCs w:val="24"/>
        </w:rPr>
        <w:t>Merriam, Sharan B. “Andragogy and Self-Directed Learning: Pillars of Adult Learning Theory.” New Directions for Adult and Continuing Education, vol. 89, 2001, pp 3-14</w:t>
      </w:r>
      <w:r w:rsidR="006D2C6A" w:rsidRPr="00CC19FE">
        <w:rPr>
          <w:rFonts w:ascii="Calibri" w:eastAsia="Calibri" w:hAnsi="Calibri" w:cs="Calibri"/>
          <w:sz w:val="24"/>
          <w:szCs w:val="24"/>
        </w:rPr>
        <w:t xml:space="preserve">. </w:t>
      </w:r>
      <w:hyperlink r:id="rId25" w:history="1">
        <w:r w:rsidR="006D2C6A" w:rsidRPr="00CC19FE">
          <w:rPr>
            <w:rStyle w:val="Hyperlink"/>
            <w:rFonts w:ascii="Calibri" w:eastAsia="Calibri" w:hAnsi="Calibri" w:cs="Calibri"/>
            <w:sz w:val="24"/>
            <w:szCs w:val="24"/>
          </w:rPr>
          <w:t>Link</w:t>
        </w:r>
      </w:hyperlink>
    </w:p>
    <w:p w14:paraId="687AA23D" w14:textId="37F2F880" w:rsidR="004653CC" w:rsidRPr="00CC19FE" w:rsidRDefault="004653CC" w:rsidP="0032171F">
      <w:pPr>
        <w:spacing w:line="240" w:lineRule="auto"/>
        <w:ind w:left="720" w:hanging="720"/>
        <w:rPr>
          <w:rFonts w:ascii="Calibri" w:eastAsia="Calibri" w:hAnsi="Calibri" w:cs="Calibri"/>
          <w:sz w:val="24"/>
          <w:szCs w:val="24"/>
        </w:rPr>
      </w:pPr>
    </w:p>
    <w:p w14:paraId="0796590C" w14:textId="19335A7B" w:rsidR="7DFBD1A2" w:rsidRDefault="7DFBD1A2" w:rsidP="7DFBD1A2">
      <w:pPr>
        <w:spacing w:line="240" w:lineRule="auto"/>
        <w:ind w:left="720" w:hanging="720"/>
        <w:rPr>
          <w:sz w:val="24"/>
          <w:szCs w:val="24"/>
        </w:rPr>
      </w:pPr>
    </w:p>
    <w:p w14:paraId="6498C49C" w14:textId="77777777" w:rsidR="00404791" w:rsidRPr="001945D5" w:rsidRDefault="00404791" w:rsidP="00404791">
      <w:pPr>
        <w:pStyle w:val="Heading1"/>
        <w:rPr>
          <w:b/>
          <w:bCs/>
          <w:sz w:val="24"/>
          <w:szCs w:val="24"/>
        </w:rPr>
      </w:pPr>
    </w:p>
    <w:p w14:paraId="5B3A77F4" w14:textId="585233C4" w:rsidR="00404791" w:rsidRDefault="00404791" w:rsidP="7DFBD1A2">
      <w:pPr>
        <w:pStyle w:val="Heading2"/>
        <w:pBdr>
          <w:top w:val="single" w:sz="4" w:space="4" w:color="000000"/>
          <w:left w:val="single" w:sz="4" w:space="4" w:color="000000"/>
          <w:bottom w:val="single" w:sz="4" w:space="4" w:color="000000"/>
          <w:right w:val="single" w:sz="4" w:space="4" w:color="000000"/>
        </w:pBdr>
        <w:shd w:val="clear" w:color="auto" w:fill="B4C6E7" w:themeFill="accent1" w:themeFillTint="66"/>
        <w:jc w:val="center"/>
        <w:rPr>
          <w:b/>
          <w:color w:val="000000" w:themeColor="text1"/>
        </w:rPr>
      </w:pPr>
      <w:r w:rsidRPr="7DFBD1A2">
        <w:rPr>
          <w:b/>
          <w:color w:val="000000" w:themeColor="text1"/>
        </w:rPr>
        <w:t>Books</w:t>
      </w:r>
    </w:p>
    <w:p w14:paraId="4503F29A" w14:textId="77777777" w:rsidR="000C1A68" w:rsidRPr="000C1A68" w:rsidRDefault="000C1A68" w:rsidP="000C1A68"/>
    <w:tbl>
      <w:tblPr>
        <w:tblStyle w:val="TableGrid"/>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2690"/>
        <w:gridCol w:w="6640"/>
      </w:tblGrid>
      <w:tr w:rsidR="00023935" w14:paraId="58C8E31F" w14:textId="77777777" w:rsidTr="00411EE0">
        <w:trPr>
          <w:trHeight w:val="300"/>
        </w:trPr>
        <w:tc>
          <w:tcPr>
            <w:tcW w:w="2229" w:type="dxa"/>
            <w:vAlign w:val="center"/>
          </w:tcPr>
          <w:p w14:paraId="0D2DDF9A" w14:textId="04A5435C" w:rsidR="00023935" w:rsidRDefault="005A7C86" w:rsidP="0823F58B">
            <w:pPr>
              <w:jc w:val="center"/>
            </w:pPr>
            <w:r>
              <w:rPr>
                <w:noProof/>
              </w:rPr>
              <w:drawing>
                <wp:inline distT="0" distB="0" distL="0" distR="0" wp14:anchorId="64E38FBA" wp14:editId="307CF20F">
                  <wp:extent cx="990100" cy="1489019"/>
                  <wp:effectExtent l="0" t="0" r="635" b="0"/>
                  <wp:docPr id="1008301342" name="Picture 9" descr="Where's the Learning in Servic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here's the Learning in Service-Learn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1100" cy="1505562"/>
                          </a:xfrm>
                          <a:prstGeom prst="rect">
                            <a:avLst/>
                          </a:prstGeom>
                          <a:noFill/>
                          <a:ln>
                            <a:noFill/>
                          </a:ln>
                        </pic:spPr>
                      </pic:pic>
                    </a:graphicData>
                  </a:graphic>
                </wp:inline>
              </w:drawing>
            </w:r>
          </w:p>
        </w:tc>
        <w:tc>
          <w:tcPr>
            <w:tcW w:w="6856" w:type="dxa"/>
          </w:tcPr>
          <w:p w14:paraId="488C5555" w14:textId="77777777" w:rsidR="002C4AED" w:rsidRDefault="00682CD8" w:rsidP="0040686C">
            <w:pPr>
              <w:pStyle w:val="NormalWeb"/>
              <w:spacing w:before="0" w:beforeAutospacing="0" w:after="0" w:afterAutospacing="0"/>
              <w:ind w:left="567" w:hanging="567"/>
              <w:rPr>
                <w:rFonts w:ascii="Calibri" w:eastAsia="Calibri" w:hAnsi="Calibri" w:cs="Calibri"/>
                <w:b/>
                <w:bCs/>
              </w:rPr>
            </w:pPr>
            <w:r>
              <w:rPr>
                <w:rFonts w:ascii="Calibri" w:eastAsia="Calibri" w:hAnsi="Calibri" w:cs="Calibri"/>
                <w:b/>
                <w:bCs/>
              </w:rPr>
              <w:t xml:space="preserve">Eyler, Janet et al. </w:t>
            </w:r>
            <w:r w:rsidR="00023935" w:rsidRPr="00682CD8">
              <w:rPr>
                <w:rFonts w:ascii="Calibri" w:eastAsia="Calibri" w:hAnsi="Calibri" w:cs="Calibri"/>
                <w:b/>
                <w:bCs/>
                <w:i/>
                <w:iCs/>
              </w:rPr>
              <w:t>Where's the Learning in Service-Learning?</w:t>
            </w:r>
            <w:r w:rsidR="00023935" w:rsidRPr="00D604C2">
              <w:rPr>
                <w:rFonts w:ascii="Calibri" w:eastAsia="Calibri" w:hAnsi="Calibri" w:cs="Calibri"/>
                <w:b/>
                <w:bCs/>
              </w:rPr>
              <w:t xml:space="preserve"> </w:t>
            </w:r>
          </w:p>
          <w:p w14:paraId="72424F69" w14:textId="44FA8F56" w:rsidR="00023935" w:rsidRDefault="008B1FC2" w:rsidP="00F57E2D">
            <w:pPr>
              <w:pStyle w:val="NormalWeb"/>
              <w:spacing w:before="0" w:beforeAutospacing="0" w:after="0" w:afterAutospacing="0"/>
              <w:ind w:left="567" w:hanging="567"/>
              <w:rPr>
                <w:rFonts w:ascii="Calibri" w:eastAsia="Calibri" w:hAnsi="Calibri" w:cs="Calibri"/>
                <w:b/>
                <w:bCs/>
              </w:rPr>
            </w:pPr>
            <w:r w:rsidRPr="00502D23">
              <w:rPr>
                <w:rFonts w:ascii="Calibri" w:eastAsia="Calibri" w:hAnsi="Calibri" w:cs="Calibri"/>
                <w:b/>
                <w:bCs/>
              </w:rPr>
              <w:t>Jossey</w:t>
            </w:r>
            <w:r>
              <w:rPr>
                <w:rFonts w:ascii="Calibri" w:eastAsia="Calibri" w:hAnsi="Calibri" w:cs="Calibri"/>
                <w:b/>
                <w:bCs/>
              </w:rPr>
              <w:t xml:space="preserve"> </w:t>
            </w:r>
            <w:r w:rsidRPr="00502D23">
              <w:rPr>
                <w:rFonts w:ascii="Calibri" w:eastAsia="Calibri" w:hAnsi="Calibri" w:cs="Calibri"/>
                <w:b/>
                <w:bCs/>
              </w:rPr>
              <w:t xml:space="preserve">Brass, </w:t>
            </w:r>
            <w:r w:rsidR="0040686C">
              <w:rPr>
                <w:rFonts w:ascii="Calibri" w:eastAsia="Calibri" w:hAnsi="Calibri" w:cs="Calibri"/>
                <w:b/>
                <w:bCs/>
              </w:rPr>
              <w:t>1999</w:t>
            </w:r>
            <w:r w:rsidR="00F57E2D">
              <w:rPr>
                <w:rFonts w:ascii="Calibri" w:eastAsia="Calibri" w:hAnsi="Calibri" w:cs="Calibri"/>
                <w:b/>
                <w:bCs/>
              </w:rPr>
              <w:t>.</w:t>
            </w:r>
          </w:p>
          <w:p w14:paraId="362BAF8D" w14:textId="77777777" w:rsidR="00F57E2D" w:rsidRPr="00F57E2D" w:rsidRDefault="00F57E2D" w:rsidP="00F57E2D">
            <w:pPr>
              <w:pStyle w:val="NormalWeb"/>
              <w:spacing w:before="0" w:beforeAutospacing="0" w:after="0" w:afterAutospacing="0"/>
              <w:ind w:left="567" w:hanging="567"/>
              <w:rPr>
                <w:rFonts w:ascii="Calibri" w:eastAsia="Calibri" w:hAnsi="Calibri" w:cs="Calibri"/>
                <w:b/>
                <w:bCs/>
              </w:rPr>
            </w:pPr>
          </w:p>
          <w:p w14:paraId="2DA0993F" w14:textId="58F6CF5E" w:rsidR="00023935" w:rsidRPr="00EC75CB" w:rsidRDefault="00023935" w:rsidP="00EC75CB">
            <w:pPr>
              <w:pStyle w:val="NormalWeb"/>
            </w:pPr>
            <w:r w:rsidRPr="77F96523">
              <w:rPr>
                <w:rFonts w:ascii="Calibri" w:eastAsia="Calibri" w:hAnsi="Calibri" w:cs="Calibri"/>
              </w:rPr>
              <w:t xml:space="preserve">This timely volume is the first to explore service-learning as </w:t>
            </w:r>
            <w:r w:rsidRPr="595BD666">
              <w:rPr>
                <w:rFonts w:ascii="Calibri" w:eastAsia="Calibri" w:hAnsi="Calibri" w:cs="Calibri"/>
              </w:rPr>
              <w:t>a valid</w:t>
            </w:r>
            <w:r w:rsidRPr="77F96523">
              <w:rPr>
                <w:rFonts w:ascii="Calibri" w:eastAsia="Calibri" w:hAnsi="Calibri" w:cs="Calibri"/>
              </w:rPr>
              <w:t xml:space="preserve"> learning activity. The authors present extensive data from two groundbreaking national research projects. Their studies include a large national survey focused on attitudes and perceptions of learning, intensive student interviews before and after the service semester, and additional comprehensive interviews to explore student views of the service-learning process.</w:t>
            </w:r>
          </w:p>
          <w:p w14:paraId="5824E19B" w14:textId="5E765F2D" w:rsidR="00023935" w:rsidRDefault="00023935" w:rsidP="0823F58B">
            <w:pPr>
              <w:pStyle w:val="NormalWeb"/>
              <w:rPr>
                <w:rFonts w:ascii="Calibri" w:eastAsia="Calibri" w:hAnsi="Calibri" w:cs="Calibri"/>
                <w:b/>
                <w:bCs/>
              </w:rPr>
            </w:pPr>
          </w:p>
        </w:tc>
      </w:tr>
      <w:tr w:rsidR="00023935" w14:paraId="0C0B5197" w14:textId="60C55931" w:rsidTr="00411EE0">
        <w:tc>
          <w:tcPr>
            <w:tcW w:w="2229" w:type="dxa"/>
            <w:vAlign w:val="center"/>
          </w:tcPr>
          <w:p w14:paraId="7F2EEEE8" w14:textId="77777777" w:rsidR="00023935" w:rsidRDefault="00023935" w:rsidP="005A7C86">
            <w:pPr>
              <w:jc w:val="center"/>
              <w:rPr>
                <w:noProof/>
              </w:rPr>
            </w:pPr>
            <w:r>
              <w:rPr>
                <w:noProof/>
              </w:rPr>
              <w:drawing>
                <wp:inline distT="0" distB="0" distL="0" distR="0" wp14:anchorId="23F29084" wp14:editId="13DF8C1B">
                  <wp:extent cx="977090" cy="1294826"/>
                  <wp:effectExtent l="0" t="0" r="0" b="635"/>
                  <wp:docPr id="1480701703" name="Picture 5" descr="Tools for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ols for Teach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4730" cy="1357958"/>
                          </a:xfrm>
                          <a:prstGeom prst="rect">
                            <a:avLst/>
                          </a:prstGeom>
                          <a:noFill/>
                          <a:ln>
                            <a:noFill/>
                          </a:ln>
                        </pic:spPr>
                      </pic:pic>
                    </a:graphicData>
                  </a:graphic>
                </wp:inline>
              </w:drawing>
            </w:r>
          </w:p>
          <w:p w14:paraId="57A7739A" w14:textId="71029F27" w:rsidR="00023935" w:rsidRDefault="00023935" w:rsidP="005A7C86">
            <w:pPr>
              <w:jc w:val="center"/>
              <w:rPr>
                <w:noProof/>
              </w:rPr>
            </w:pPr>
          </w:p>
        </w:tc>
        <w:tc>
          <w:tcPr>
            <w:tcW w:w="6856" w:type="dxa"/>
          </w:tcPr>
          <w:p w14:paraId="04424DA1" w14:textId="5B59AB49" w:rsidR="00023935" w:rsidRPr="00502D23" w:rsidRDefault="00023935" w:rsidP="00221620">
            <w:pPr>
              <w:pStyle w:val="NormalWeb"/>
              <w:rPr>
                <w:rFonts w:ascii="Calibri" w:eastAsia="Calibri" w:hAnsi="Calibri" w:cs="Calibri"/>
                <w:b/>
                <w:bCs/>
              </w:rPr>
            </w:pPr>
            <w:r w:rsidRPr="00502D23">
              <w:rPr>
                <w:rFonts w:ascii="Calibri" w:eastAsia="Calibri" w:hAnsi="Calibri" w:cs="Calibri"/>
                <w:b/>
                <w:bCs/>
              </w:rPr>
              <w:t xml:space="preserve">Gross Davis, Barbara. </w:t>
            </w:r>
            <w:r w:rsidRPr="00502D23">
              <w:rPr>
                <w:rFonts w:ascii="Calibri" w:eastAsia="Calibri" w:hAnsi="Calibri" w:cs="Calibri"/>
                <w:b/>
                <w:bCs/>
                <w:i/>
                <w:iCs/>
              </w:rPr>
              <w:t>Tools for Teaching</w:t>
            </w:r>
            <w:r w:rsidRPr="00502D23">
              <w:rPr>
                <w:rFonts w:ascii="Calibri" w:eastAsia="Calibri" w:hAnsi="Calibri" w:cs="Calibri"/>
                <w:b/>
                <w:bCs/>
              </w:rPr>
              <w:t>. Jossey</w:t>
            </w:r>
            <w:r w:rsidR="008B1FC2">
              <w:rPr>
                <w:rFonts w:ascii="Calibri" w:eastAsia="Calibri" w:hAnsi="Calibri" w:cs="Calibri"/>
                <w:b/>
                <w:bCs/>
              </w:rPr>
              <w:t xml:space="preserve"> </w:t>
            </w:r>
            <w:r w:rsidRPr="00502D23">
              <w:rPr>
                <w:rFonts w:ascii="Calibri" w:eastAsia="Calibri" w:hAnsi="Calibri" w:cs="Calibri"/>
                <w:b/>
                <w:bCs/>
              </w:rPr>
              <w:t>Brass, 2009</w:t>
            </w:r>
            <w:r w:rsidR="00F57E2D">
              <w:rPr>
                <w:rFonts w:ascii="Calibri" w:eastAsia="Calibri" w:hAnsi="Calibri" w:cs="Calibri"/>
                <w:b/>
                <w:bCs/>
              </w:rPr>
              <w:t>.</w:t>
            </w:r>
          </w:p>
          <w:p w14:paraId="0CC72168" w14:textId="0CA07F5A" w:rsidR="00023935" w:rsidRDefault="00023935" w:rsidP="00221620">
            <w:pPr>
              <w:pStyle w:val="NormalWeb"/>
            </w:pPr>
            <w:r w:rsidRPr="114C961F">
              <w:rPr>
                <w:rFonts w:ascii="Calibri" w:eastAsia="Calibri" w:hAnsi="Calibri" w:cs="Calibri"/>
              </w:rPr>
              <w:t xml:space="preserve">A rich compendium of classroom-tested strategies and suggestions designed to improve the teaching practice of beginning, midcareer, and senior faculty members. Forty-nine teaching tools cover both traditional tasks--writing a course syllabus, delivering a lecture--and newer, broader concerns, such as responding to diversity and using </w:t>
            </w:r>
            <w:proofErr w:type="gramStart"/>
            <w:r w:rsidRPr="114C961F">
              <w:rPr>
                <w:rFonts w:ascii="Calibri" w:eastAsia="Calibri" w:hAnsi="Calibri" w:cs="Calibri"/>
              </w:rPr>
              <w:t>technology</w:t>
            </w:r>
            <w:proofErr w:type="gramEnd"/>
          </w:p>
          <w:p w14:paraId="4E0AB695" w14:textId="7EF7EECF" w:rsidR="00023935" w:rsidRPr="7DFBD1A2" w:rsidRDefault="00023935" w:rsidP="003B2C9E">
            <w:pPr>
              <w:pStyle w:val="NormalWeb"/>
              <w:rPr>
                <w:rFonts w:ascii="Calibri" w:eastAsia="Calibri" w:hAnsi="Calibri" w:cs="Calibri"/>
              </w:rPr>
            </w:pPr>
          </w:p>
        </w:tc>
      </w:tr>
      <w:tr w:rsidR="00023935" w14:paraId="43399470" w14:textId="4AA94B7F" w:rsidTr="00411EE0">
        <w:tc>
          <w:tcPr>
            <w:tcW w:w="2229" w:type="dxa"/>
            <w:vAlign w:val="center"/>
          </w:tcPr>
          <w:p w14:paraId="782161B5" w14:textId="1E9D3021" w:rsidR="00023935" w:rsidRDefault="00023935" w:rsidP="005A7C86">
            <w:pPr>
              <w:jc w:val="center"/>
            </w:pPr>
            <w:r>
              <w:rPr>
                <w:noProof/>
              </w:rPr>
              <w:drawing>
                <wp:inline distT="0" distB="0" distL="0" distR="0" wp14:anchorId="5592C116" wp14:editId="1FDE8CCF">
                  <wp:extent cx="1069218" cy="1585408"/>
                  <wp:effectExtent l="0" t="0" r="0" b="0"/>
                  <wp:docPr id="1650617383" name="Picture 2" descr="Learning in Adulthood: A Comprehensiv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rning in Adulthood: A Comprehensive Guid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2783" cy="1650005"/>
                          </a:xfrm>
                          <a:prstGeom prst="rect">
                            <a:avLst/>
                          </a:prstGeom>
                          <a:noFill/>
                          <a:ln>
                            <a:noFill/>
                          </a:ln>
                        </pic:spPr>
                      </pic:pic>
                    </a:graphicData>
                  </a:graphic>
                </wp:inline>
              </w:drawing>
            </w:r>
          </w:p>
        </w:tc>
        <w:tc>
          <w:tcPr>
            <w:tcW w:w="6856" w:type="dxa"/>
          </w:tcPr>
          <w:p w14:paraId="12720A7C" w14:textId="12BF51E0" w:rsidR="00023935" w:rsidRPr="00D604C2" w:rsidRDefault="00023935" w:rsidP="00ED6379">
            <w:pPr>
              <w:pStyle w:val="NormalWeb"/>
              <w:ind w:left="567" w:hanging="567"/>
              <w:rPr>
                <w:rFonts w:ascii="Calibri" w:eastAsia="Calibri" w:hAnsi="Calibri" w:cs="Calibri"/>
                <w:b/>
                <w:bCs/>
              </w:rPr>
            </w:pPr>
            <w:r w:rsidRPr="00D604C2">
              <w:rPr>
                <w:rFonts w:ascii="Calibri" w:eastAsia="Calibri" w:hAnsi="Calibri" w:cs="Calibri"/>
                <w:b/>
                <w:bCs/>
              </w:rPr>
              <w:t xml:space="preserve">Merriam, Sharan B., and Lisa Baumgartner. </w:t>
            </w:r>
            <w:r w:rsidRPr="00D604C2">
              <w:rPr>
                <w:rFonts w:ascii="Calibri" w:eastAsia="Calibri" w:hAnsi="Calibri" w:cs="Calibri"/>
                <w:b/>
                <w:bCs/>
                <w:i/>
              </w:rPr>
              <w:t>Learning in Adulthood: A Comprehensive Guide</w:t>
            </w:r>
            <w:r w:rsidRPr="00D604C2">
              <w:rPr>
                <w:rFonts w:ascii="Calibri" w:eastAsia="Calibri" w:hAnsi="Calibri" w:cs="Calibri"/>
                <w:b/>
                <w:bCs/>
              </w:rPr>
              <w:t>. Jossey</w:t>
            </w:r>
            <w:r w:rsidR="0040686C">
              <w:rPr>
                <w:rFonts w:ascii="Calibri" w:eastAsia="Calibri" w:hAnsi="Calibri" w:cs="Calibri"/>
                <w:b/>
                <w:bCs/>
              </w:rPr>
              <w:t xml:space="preserve"> </w:t>
            </w:r>
            <w:r w:rsidRPr="00D604C2">
              <w:rPr>
                <w:rFonts w:ascii="Calibri" w:eastAsia="Calibri" w:hAnsi="Calibri" w:cs="Calibri"/>
                <w:b/>
                <w:bCs/>
              </w:rPr>
              <w:t>Bass, 2020</w:t>
            </w:r>
            <w:r w:rsidR="00411EE0">
              <w:rPr>
                <w:rFonts w:ascii="Calibri" w:eastAsia="Calibri" w:hAnsi="Calibri" w:cs="Calibri"/>
                <w:b/>
                <w:bCs/>
              </w:rPr>
              <w:t>.</w:t>
            </w:r>
          </w:p>
          <w:p w14:paraId="33AE5D2F" w14:textId="57EE5BC9" w:rsidR="00023935" w:rsidRPr="00EC75CB" w:rsidRDefault="00023935" w:rsidP="001D6754">
            <w:pPr>
              <w:shd w:val="clear" w:color="auto" w:fill="FFFFFF" w:themeFill="background1"/>
              <w:spacing w:after="210"/>
              <w:rPr>
                <w:rFonts w:cstheme="minorHAnsi"/>
                <w:sz w:val="24"/>
                <w:szCs w:val="24"/>
              </w:rPr>
            </w:pPr>
            <w:r w:rsidRPr="00EC75CB">
              <w:rPr>
                <w:rFonts w:eastAsia="Arial" w:cstheme="minorHAnsi"/>
                <w:color w:val="0F1111"/>
                <w:sz w:val="24"/>
                <w:szCs w:val="24"/>
              </w:rPr>
              <w:t xml:space="preserve">Now in its fourth edition, this comprehensive volume is fully revised to reflect the latest developments in theory, research, and practice. The authors integrate foundational research and current knowledge to present fresh, original perspectives on teaching and learning in adulthood. Written by </w:t>
            </w:r>
            <w:proofErr w:type="gramStart"/>
            <w:r w:rsidRPr="00EC75CB">
              <w:rPr>
                <w:rFonts w:eastAsia="Arial" w:cstheme="minorHAnsi"/>
                <w:color w:val="0F1111"/>
                <w:sz w:val="24"/>
                <w:szCs w:val="24"/>
              </w:rPr>
              <w:t>internationally-recognized</w:t>
            </w:r>
            <w:proofErr w:type="gramEnd"/>
            <w:r w:rsidRPr="00EC75CB">
              <w:rPr>
                <w:rFonts w:eastAsia="Arial" w:cstheme="minorHAnsi"/>
                <w:color w:val="0F1111"/>
                <w:sz w:val="24"/>
                <w:szCs w:val="24"/>
              </w:rPr>
              <w:t xml:space="preserve"> experts, this market-leading guide draws from work in sociology, philosophy, critical social theory, psychology, and education to provide an inclusive overview of adult learning.</w:t>
            </w:r>
          </w:p>
        </w:tc>
      </w:tr>
      <w:tr w:rsidR="00023935" w14:paraId="67679740" w14:textId="77777777" w:rsidTr="00411EE0">
        <w:trPr>
          <w:trHeight w:val="300"/>
        </w:trPr>
        <w:tc>
          <w:tcPr>
            <w:tcW w:w="2229" w:type="dxa"/>
            <w:vAlign w:val="center"/>
          </w:tcPr>
          <w:p w14:paraId="59701FFC" w14:textId="2C16B1E7" w:rsidR="00023935" w:rsidRDefault="00D604C2" w:rsidP="00D604C2">
            <w:pPr>
              <w:jc w:val="center"/>
            </w:pPr>
            <w:r>
              <w:rPr>
                <w:noProof/>
              </w:rPr>
              <w:drawing>
                <wp:inline distT="0" distB="0" distL="0" distR="0" wp14:anchorId="7F87EAE5" wp14:editId="0A929E9C">
                  <wp:extent cx="1088621" cy="1298643"/>
                  <wp:effectExtent l="0" t="0" r="0" b="0"/>
                  <wp:docPr id="2050116141" name="Picture 10" descr="The Profession and Practice of Adult Education: An 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Profession and Practice of Adult Education: An Introduc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5155" cy="1306438"/>
                          </a:xfrm>
                          <a:prstGeom prst="rect">
                            <a:avLst/>
                          </a:prstGeom>
                          <a:noFill/>
                          <a:ln>
                            <a:noFill/>
                          </a:ln>
                        </pic:spPr>
                      </pic:pic>
                    </a:graphicData>
                  </a:graphic>
                </wp:inline>
              </w:drawing>
            </w:r>
          </w:p>
        </w:tc>
        <w:tc>
          <w:tcPr>
            <w:tcW w:w="6856" w:type="dxa"/>
          </w:tcPr>
          <w:p w14:paraId="64A3C269" w14:textId="3BF1270C" w:rsidR="00023935" w:rsidRPr="00F57E2D" w:rsidRDefault="007C067D" w:rsidP="00D604C2">
            <w:pPr>
              <w:pStyle w:val="NormalWeb"/>
              <w:rPr>
                <w:b/>
                <w:bCs/>
              </w:rPr>
            </w:pPr>
            <w:r w:rsidRPr="00F57E2D">
              <w:rPr>
                <w:rFonts w:ascii="Calibri" w:eastAsia="Calibri" w:hAnsi="Calibri" w:cs="Calibri"/>
                <w:b/>
                <w:bCs/>
              </w:rPr>
              <w:t>Sha</w:t>
            </w:r>
            <w:r w:rsidR="00F57E2D" w:rsidRPr="00F57E2D">
              <w:rPr>
                <w:rFonts w:ascii="Calibri" w:eastAsia="Calibri" w:hAnsi="Calibri" w:cs="Calibri"/>
                <w:b/>
                <w:bCs/>
              </w:rPr>
              <w:t xml:space="preserve">ran B. Merriam and Ralph G. Brockett. </w:t>
            </w:r>
            <w:r w:rsidR="00023935" w:rsidRPr="00F57E2D">
              <w:rPr>
                <w:rFonts w:ascii="Calibri" w:eastAsia="Calibri" w:hAnsi="Calibri" w:cs="Calibri"/>
                <w:b/>
                <w:bCs/>
                <w:i/>
                <w:iCs/>
              </w:rPr>
              <w:t>The Profession and Practice of Adult Education: An Introduction</w:t>
            </w:r>
            <w:r w:rsidR="00F57E2D" w:rsidRPr="00F57E2D">
              <w:rPr>
                <w:rFonts w:ascii="Calibri" w:eastAsia="Calibri" w:hAnsi="Calibri" w:cs="Calibri"/>
                <w:b/>
                <w:bCs/>
                <w:i/>
                <w:iCs/>
              </w:rPr>
              <w:t xml:space="preserve">. </w:t>
            </w:r>
            <w:r w:rsidR="00F57E2D" w:rsidRPr="00F57E2D">
              <w:rPr>
                <w:rFonts w:asciiTheme="minorHAnsi" w:hAnsiTheme="minorHAnsi" w:cstheme="minorHAnsi"/>
                <w:b/>
                <w:bCs/>
              </w:rPr>
              <w:t>Jossey Bass, 2011.</w:t>
            </w:r>
          </w:p>
          <w:p w14:paraId="06BC5D55" w14:textId="77777777" w:rsidR="009758A1" w:rsidRDefault="00023935" w:rsidP="1AD9B98B">
            <w:pPr>
              <w:pStyle w:val="NormalWeb"/>
              <w:rPr>
                <w:rFonts w:ascii="Calibri" w:eastAsia="Calibri" w:hAnsi="Calibri" w:cs="Calibri"/>
              </w:rPr>
            </w:pPr>
            <w:r w:rsidRPr="00F57E2D">
              <w:rPr>
                <w:rFonts w:ascii="Calibri" w:eastAsia="Calibri" w:hAnsi="Calibri" w:cs="Calibri"/>
              </w:rPr>
              <w:t>The Profession and Practice of Adult Education is a timely book and an excellent introduction to the field. Drawing from an extensive volume of literature, it provides comprehensive coverage and a clear guide. Graduate students will benefit from it and practitioners will be kept abreast of changes that are occurring.</w:t>
            </w:r>
          </w:p>
          <w:p w14:paraId="5C088F82" w14:textId="44E6E4DF" w:rsidR="00EC75CB" w:rsidRDefault="00EC75CB" w:rsidP="1AD9B98B">
            <w:pPr>
              <w:pStyle w:val="NormalWeb"/>
              <w:rPr>
                <w:rFonts w:ascii="Calibri" w:eastAsia="Calibri" w:hAnsi="Calibri" w:cs="Calibri"/>
              </w:rPr>
            </w:pPr>
          </w:p>
        </w:tc>
      </w:tr>
      <w:tr w:rsidR="00685D98" w14:paraId="70A9A07A" w14:textId="77777777" w:rsidTr="00411EE0">
        <w:tc>
          <w:tcPr>
            <w:tcW w:w="2229" w:type="dxa"/>
            <w:vAlign w:val="center"/>
          </w:tcPr>
          <w:p w14:paraId="17872844" w14:textId="57FE0E87" w:rsidR="00685D98" w:rsidRDefault="00B8191A" w:rsidP="005A7C86">
            <w:pPr>
              <w:jc w:val="center"/>
              <w:rPr>
                <w:noProof/>
              </w:rPr>
            </w:pPr>
            <w:r>
              <w:rPr>
                <w:noProof/>
              </w:rPr>
              <w:drawing>
                <wp:inline distT="0" distB="0" distL="0" distR="0" wp14:anchorId="3B40C3BD" wp14:editId="1E5C5A39">
                  <wp:extent cx="1570990" cy="2077085"/>
                  <wp:effectExtent l="0" t="0" r="0" b="0"/>
                  <wp:docPr id="1584690732" name="Picture 11" descr="Taking Learning to Task: Creative Strategies for Teaching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aking Learning to Task: Creative Strategies for Teaching Adult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70990" cy="2077085"/>
                          </a:xfrm>
                          <a:prstGeom prst="rect">
                            <a:avLst/>
                          </a:prstGeom>
                          <a:noFill/>
                          <a:ln>
                            <a:noFill/>
                          </a:ln>
                        </pic:spPr>
                      </pic:pic>
                    </a:graphicData>
                  </a:graphic>
                </wp:inline>
              </w:drawing>
            </w:r>
          </w:p>
        </w:tc>
        <w:tc>
          <w:tcPr>
            <w:tcW w:w="6856" w:type="dxa"/>
          </w:tcPr>
          <w:p w14:paraId="0604CD71" w14:textId="77777777" w:rsidR="00685D98" w:rsidRDefault="00B05877" w:rsidP="00D604C2">
            <w:pPr>
              <w:pStyle w:val="NormalWeb"/>
              <w:rPr>
                <w:rFonts w:asciiTheme="minorHAnsi" w:hAnsiTheme="minorHAnsi" w:cstheme="minorHAnsi"/>
                <w:b/>
                <w:bCs/>
              </w:rPr>
            </w:pPr>
            <w:r>
              <w:rPr>
                <w:rFonts w:asciiTheme="minorHAnsi" w:eastAsia="Calibri" w:hAnsiTheme="minorHAnsi" w:cstheme="minorHAnsi"/>
                <w:b/>
                <w:bCs/>
              </w:rPr>
              <w:t>Vella, Jane</w:t>
            </w:r>
            <w:r w:rsidR="00A05929">
              <w:rPr>
                <w:rFonts w:asciiTheme="minorHAnsi" w:eastAsia="Calibri" w:hAnsiTheme="minorHAnsi" w:cstheme="minorHAnsi"/>
                <w:b/>
                <w:bCs/>
              </w:rPr>
              <w:t xml:space="preserve">. </w:t>
            </w:r>
            <w:r w:rsidR="00C6073B" w:rsidRPr="00876DED">
              <w:rPr>
                <w:rFonts w:asciiTheme="minorHAnsi" w:eastAsia="Calibri" w:hAnsiTheme="minorHAnsi" w:cstheme="minorHAnsi"/>
                <w:b/>
                <w:bCs/>
                <w:i/>
                <w:iCs/>
              </w:rPr>
              <w:t>Taking Learning to Task: Creative Strategies for Teaching Adults</w:t>
            </w:r>
            <w:r w:rsidR="00C6073B">
              <w:rPr>
                <w:rFonts w:asciiTheme="minorHAnsi" w:eastAsia="Calibri" w:hAnsiTheme="minorHAnsi" w:cstheme="minorHAnsi"/>
                <w:b/>
                <w:bCs/>
              </w:rPr>
              <w:t>.</w:t>
            </w:r>
            <w:r w:rsidR="00AC705A">
              <w:rPr>
                <w:rFonts w:asciiTheme="minorHAnsi" w:eastAsia="Calibri" w:hAnsiTheme="minorHAnsi" w:cstheme="minorHAnsi"/>
                <w:b/>
                <w:bCs/>
              </w:rPr>
              <w:t xml:space="preserve"> </w:t>
            </w:r>
            <w:r w:rsidR="00AC705A" w:rsidRPr="00F57E2D">
              <w:rPr>
                <w:rFonts w:asciiTheme="minorHAnsi" w:hAnsiTheme="minorHAnsi" w:cstheme="minorHAnsi"/>
                <w:b/>
                <w:bCs/>
              </w:rPr>
              <w:t>Jossey Bass, 200</w:t>
            </w:r>
            <w:r w:rsidR="00AC705A">
              <w:rPr>
                <w:rFonts w:asciiTheme="minorHAnsi" w:hAnsiTheme="minorHAnsi" w:cstheme="minorHAnsi"/>
                <w:b/>
                <w:bCs/>
              </w:rPr>
              <w:t>0.</w:t>
            </w:r>
          </w:p>
          <w:p w14:paraId="360A3D3D" w14:textId="7A2FC08D" w:rsidR="001709F7" w:rsidRDefault="001709F7" w:rsidP="00D604C2">
            <w:pPr>
              <w:pStyle w:val="NormalWeb"/>
              <w:rPr>
                <w:rFonts w:asciiTheme="minorHAnsi" w:hAnsiTheme="minorHAnsi" w:cstheme="minorHAnsi"/>
                <w:color w:val="0F1111"/>
                <w:shd w:val="clear" w:color="auto" w:fill="FFFFFF"/>
              </w:rPr>
            </w:pPr>
            <w:r w:rsidRPr="001709F7">
              <w:rPr>
                <w:rFonts w:asciiTheme="minorHAnsi" w:hAnsiTheme="minorHAnsi" w:cstheme="minorHAnsi"/>
                <w:color w:val="0F1111"/>
                <w:shd w:val="clear" w:color="auto" w:fill="FFFFFF"/>
              </w:rPr>
              <w:t xml:space="preserve">Vella shifts the spotlight from teaching tasks to learning tasks. Unlike traditional teaching methods, learning tasks are open questions leading to open dialogue between teacher and learner. To illustrate this unique approach, Vella provides seven steps to planning learning-centered courses, four types of learning tasks, a checklist of principles and practices, critical questions for instructional design, key components for evaluation, and other tools. She also shares real-world examples of successful learning programs, including online and distance-learning courses. </w:t>
            </w:r>
          </w:p>
          <w:p w14:paraId="37206403" w14:textId="75479CF7" w:rsidR="001709F7" w:rsidRPr="00F57E2D" w:rsidRDefault="001709F7" w:rsidP="00D604C2">
            <w:pPr>
              <w:pStyle w:val="NormalWeb"/>
              <w:rPr>
                <w:rFonts w:asciiTheme="minorHAnsi" w:eastAsia="Calibri" w:hAnsiTheme="minorHAnsi" w:cstheme="minorHAnsi"/>
                <w:b/>
                <w:bCs/>
              </w:rPr>
            </w:pPr>
          </w:p>
        </w:tc>
      </w:tr>
      <w:tr w:rsidR="00023935" w14:paraId="3A571A4F" w14:textId="77777777" w:rsidTr="00411EE0">
        <w:tc>
          <w:tcPr>
            <w:tcW w:w="2229" w:type="dxa"/>
            <w:vAlign w:val="center"/>
          </w:tcPr>
          <w:p w14:paraId="482CCCFB" w14:textId="036B2498" w:rsidR="00023935" w:rsidRDefault="00023935" w:rsidP="005A7C86">
            <w:pPr>
              <w:jc w:val="center"/>
              <w:rPr>
                <w:noProof/>
              </w:rPr>
            </w:pPr>
            <w:r>
              <w:rPr>
                <w:noProof/>
              </w:rPr>
              <w:drawing>
                <wp:inline distT="0" distB="0" distL="0" distR="0" wp14:anchorId="70617372" wp14:editId="47A3528B">
                  <wp:extent cx="1101903" cy="1434830"/>
                  <wp:effectExtent l="0" t="0" r="3175" b="0"/>
                  <wp:docPr id="9480277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flipH="1">
                            <a:off x="0" y="0"/>
                            <a:ext cx="1154057" cy="1502742"/>
                          </a:xfrm>
                          <a:prstGeom prst="rect">
                            <a:avLst/>
                          </a:prstGeom>
                          <a:noFill/>
                          <a:ln>
                            <a:noFill/>
                          </a:ln>
                        </pic:spPr>
                      </pic:pic>
                    </a:graphicData>
                  </a:graphic>
                </wp:inline>
              </w:drawing>
            </w:r>
          </w:p>
        </w:tc>
        <w:tc>
          <w:tcPr>
            <w:tcW w:w="6856" w:type="dxa"/>
          </w:tcPr>
          <w:p w14:paraId="126B213C" w14:textId="7909D02A" w:rsidR="00023935" w:rsidRPr="00F57E2D" w:rsidRDefault="00023935" w:rsidP="00D604C2">
            <w:pPr>
              <w:pStyle w:val="NormalWeb"/>
              <w:rPr>
                <w:rFonts w:asciiTheme="minorHAnsi" w:hAnsiTheme="minorHAnsi" w:cstheme="minorHAnsi"/>
                <w:b/>
                <w:bCs/>
              </w:rPr>
            </w:pPr>
            <w:r w:rsidRPr="00F57E2D">
              <w:rPr>
                <w:rFonts w:asciiTheme="minorHAnsi" w:eastAsia="Calibri" w:hAnsiTheme="minorHAnsi" w:cstheme="minorHAnsi"/>
                <w:b/>
                <w:bCs/>
              </w:rPr>
              <w:t xml:space="preserve">Wilson, </w:t>
            </w:r>
            <w:proofErr w:type="gramStart"/>
            <w:r w:rsidRPr="00F57E2D">
              <w:rPr>
                <w:rFonts w:asciiTheme="minorHAnsi" w:eastAsia="Calibri" w:hAnsiTheme="minorHAnsi" w:cstheme="minorHAnsi"/>
                <w:b/>
                <w:bCs/>
              </w:rPr>
              <w:t>Arthur</w:t>
            </w:r>
            <w:proofErr w:type="gramEnd"/>
            <w:r w:rsidRPr="00F57E2D">
              <w:rPr>
                <w:rFonts w:asciiTheme="minorHAnsi" w:eastAsia="Calibri" w:hAnsiTheme="minorHAnsi" w:cstheme="minorHAnsi"/>
                <w:b/>
                <w:bCs/>
              </w:rPr>
              <w:t xml:space="preserve"> and Elisabeth R. Hayes ed. </w:t>
            </w:r>
            <w:r w:rsidRPr="00F57E2D">
              <w:rPr>
                <w:rFonts w:asciiTheme="minorHAnsi" w:eastAsia="Calibri" w:hAnsiTheme="minorHAnsi" w:cstheme="minorHAnsi"/>
                <w:b/>
                <w:bCs/>
                <w:i/>
                <w:iCs/>
              </w:rPr>
              <w:t>Handbook of Adult and Continuing Education</w:t>
            </w:r>
            <w:r w:rsidRPr="00F57E2D">
              <w:rPr>
                <w:rFonts w:asciiTheme="minorHAnsi" w:eastAsia="Calibri" w:hAnsiTheme="minorHAnsi" w:cstheme="minorHAnsi"/>
                <w:b/>
                <w:bCs/>
              </w:rPr>
              <w:t xml:space="preserve">. </w:t>
            </w:r>
            <w:r w:rsidRPr="00F57E2D">
              <w:rPr>
                <w:rFonts w:asciiTheme="minorHAnsi" w:hAnsiTheme="minorHAnsi" w:cstheme="minorHAnsi"/>
                <w:b/>
                <w:bCs/>
              </w:rPr>
              <w:t>Jossey Bass, 2002</w:t>
            </w:r>
            <w:r w:rsidR="00F57E2D">
              <w:rPr>
                <w:rFonts w:asciiTheme="minorHAnsi" w:hAnsiTheme="minorHAnsi" w:cstheme="minorHAnsi"/>
                <w:b/>
                <w:bCs/>
              </w:rPr>
              <w:t>.</w:t>
            </w:r>
          </w:p>
          <w:p w14:paraId="7A0A0CC2" w14:textId="77777777" w:rsidR="009758A1" w:rsidRDefault="00023935" w:rsidP="009758A1">
            <w:pPr>
              <w:pStyle w:val="NormalWeb"/>
              <w:rPr>
                <w:rFonts w:ascii="Calibri" w:eastAsia="Calibri" w:hAnsi="Calibri" w:cs="Calibri"/>
              </w:rPr>
            </w:pPr>
            <w:r w:rsidRPr="00F57E2D">
              <w:rPr>
                <w:rFonts w:ascii="Calibri" w:eastAsia="Calibri" w:hAnsi="Calibri" w:cs="Calibri"/>
              </w:rPr>
              <w:t>Sponsored by the American Association of Adult &amp; Continuing Education"</w:t>
            </w:r>
            <w:r w:rsidR="00F57E2D">
              <w:rPr>
                <w:rFonts w:ascii="Calibri" w:eastAsia="Calibri" w:hAnsi="Calibri" w:cs="Calibri"/>
              </w:rPr>
              <w:t xml:space="preserve">. </w:t>
            </w:r>
            <w:r w:rsidRPr="00F57E2D">
              <w:rPr>
                <w:rFonts w:ascii="Calibri" w:eastAsia="Calibri" w:hAnsi="Calibri" w:cs="Calibri"/>
              </w:rPr>
              <w:t>This monumental work is a testimony to the science of adult education and the skills of Wilson and Hayes. It is a veritable feast for nourishing our understanding of the current field of adult education. The editors and their well-chosen colleagues consistently question how we know and upon what grounds we act. They invite us to consider not only how we can design effective adult education, but also why we practice in a particular socio-economic context."</w:t>
            </w:r>
          </w:p>
          <w:p w14:paraId="79C0A514" w14:textId="1831259E" w:rsidR="00EC75CB" w:rsidRPr="009758A1" w:rsidRDefault="00EC75CB" w:rsidP="009758A1">
            <w:pPr>
              <w:pStyle w:val="NormalWeb"/>
              <w:rPr>
                <w:rFonts w:ascii="Calibri" w:eastAsia="Calibri" w:hAnsi="Calibri" w:cs="Calibri"/>
              </w:rPr>
            </w:pPr>
          </w:p>
        </w:tc>
      </w:tr>
      <w:tr w:rsidR="00023935" w14:paraId="24AFEC3B" w14:textId="21B747F3" w:rsidTr="00411EE0">
        <w:tc>
          <w:tcPr>
            <w:tcW w:w="2229" w:type="dxa"/>
            <w:vAlign w:val="center"/>
          </w:tcPr>
          <w:p w14:paraId="130067A7" w14:textId="31ADFFA7" w:rsidR="00023935" w:rsidRDefault="00023935" w:rsidP="005A7C86">
            <w:pPr>
              <w:jc w:val="center"/>
            </w:pPr>
            <w:r>
              <w:rPr>
                <w:noProof/>
              </w:rPr>
              <w:drawing>
                <wp:inline distT="0" distB="0" distL="0" distR="0" wp14:anchorId="7B3589DF" wp14:editId="3DB79A32">
                  <wp:extent cx="962619" cy="1233542"/>
                  <wp:effectExtent l="0" t="0" r="9525" b="5080"/>
                  <wp:docPr id="5780473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2497" cy="1284643"/>
                          </a:xfrm>
                          <a:prstGeom prst="rect">
                            <a:avLst/>
                          </a:prstGeom>
                          <a:noFill/>
                          <a:ln>
                            <a:noFill/>
                          </a:ln>
                        </pic:spPr>
                      </pic:pic>
                    </a:graphicData>
                  </a:graphic>
                </wp:inline>
              </w:drawing>
            </w:r>
          </w:p>
        </w:tc>
        <w:tc>
          <w:tcPr>
            <w:tcW w:w="6856" w:type="dxa"/>
          </w:tcPr>
          <w:p w14:paraId="05EA9EF9" w14:textId="0883E5F4" w:rsidR="00023935" w:rsidRPr="00502D23" w:rsidRDefault="00023935" w:rsidP="00F52E6C">
            <w:pPr>
              <w:rPr>
                <w:b/>
                <w:bCs/>
              </w:rPr>
            </w:pPr>
            <w:r w:rsidRPr="00502D23">
              <w:rPr>
                <w:b/>
                <w:bCs/>
              </w:rPr>
              <w:t xml:space="preserve">Zachary, Lois J. </w:t>
            </w:r>
            <w:r w:rsidRPr="00502D23">
              <w:rPr>
                <w:b/>
                <w:bCs/>
                <w:i/>
                <w:iCs/>
              </w:rPr>
              <w:t>The mentor´s Guide</w:t>
            </w:r>
            <w:r w:rsidRPr="00502D23">
              <w:rPr>
                <w:b/>
                <w:bCs/>
              </w:rPr>
              <w:t>. Jossey Bass, 2008</w:t>
            </w:r>
            <w:r w:rsidR="00F57E2D">
              <w:rPr>
                <w:b/>
                <w:bCs/>
              </w:rPr>
              <w:t>.</w:t>
            </w:r>
          </w:p>
          <w:p w14:paraId="41821559" w14:textId="77777777" w:rsidR="00023935" w:rsidRDefault="00023935" w:rsidP="00F52E6C"/>
          <w:p w14:paraId="119538C7" w14:textId="3519EAA5" w:rsidR="00023935" w:rsidRDefault="00023935" w:rsidP="00F52E6C">
            <w:r>
              <w:rPr>
                <w:rStyle w:val="ui-provider"/>
              </w:rPr>
              <w:t>Thoughtful and rich with advice, The Mentor's Guide explores the critical process of mentoring and presents practical tools for facilitating the experience from beginning to end. Now managers, teachers, and leaders from any career, professional, or educational setting can successfully navigate the learning journey by using the hands-on worksheets and exercises in this unique resource.</w:t>
            </w:r>
          </w:p>
        </w:tc>
      </w:tr>
    </w:tbl>
    <w:p w14:paraId="080DFE15" w14:textId="612934D2" w:rsidR="51DEA2DB" w:rsidRDefault="51DEA2DB" w:rsidP="51DEA2DB">
      <w:pPr>
        <w:spacing w:after="0"/>
        <w:rPr>
          <w:rFonts w:ascii="Calibri" w:eastAsia="Calibri" w:hAnsi="Calibri" w:cs="Calibri"/>
          <w:sz w:val="24"/>
          <w:szCs w:val="24"/>
        </w:rPr>
      </w:pPr>
    </w:p>
    <w:p w14:paraId="3E6E601E" w14:textId="3A993155" w:rsidR="00F52E6C" w:rsidRPr="006D0D0E" w:rsidRDefault="2C1E6E8C" w:rsidP="006D0D0E">
      <w:pPr>
        <w:pStyle w:val="Heading2"/>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eastAsia="Calibri"/>
          <w:b/>
          <w:bCs/>
          <w:color w:val="auto"/>
        </w:rPr>
      </w:pPr>
      <w:r w:rsidRPr="006D0D0E">
        <w:rPr>
          <w:rFonts w:eastAsia="Calibri"/>
          <w:b/>
          <w:bCs/>
          <w:color w:val="auto"/>
        </w:rPr>
        <w:t>Adult education journals</w:t>
      </w:r>
    </w:p>
    <w:p w14:paraId="5EA70DFF" w14:textId="77777777" w:rsidR="006D0D0E" w:rsidRDefault="006D0D0E" w:rsidP="7DFBD1A2">
      <w:pPr>
        <w:spacing w:after="0"/>
      </w:pPr>
    </w:p>
    <w:p w14:paraId="3A33F324" w14:textId="048E9B74" w:rsidR="00F52E6C" w:rsidRPr="00F52E6C" w:rsidRDefault="0099446A" w:rsidP="7DFBD1A2">
      <w:pPr>
        <w:spacing w:after="0"/>
      </w:pPr>
      <w:hyperlink r:id="rId33" w:history="1">
        <w:r w:rsidR="00B648F3" w:rsidRPr="00D3460D">
          <w:rPr>
            <w:rStyle w:val="Hyperlink"/>
            <w:rFonts w:ascii="Calibri" w:eastAsia="Calibri" w:hAnsi="Calibri" w:cs="Calibri"/>
            <w:sz w:val="24"/>
            <w:szCs w:val="24"/>
          </w:rPr>
          <w:t>https://www.tc.columbia.edu/organization-and-leadership/adult-learning-and-leadership/resources/major-journals/</w:t>
        </w:r>
      </w:hyperlink>
    </w:p>
    <w:p w14:paraId="65495791" w14:textId="18C10492" w:rsidR="5DFE4DF8" w:rsidRDefault="5DFE4DF8" w:rsidP="5DFE4DF8">
      <w:pPr>
        <w:spacing w:after="0"/>
        <w:rPr>
          <w:rFonts w:ascii="Calibri" w:eastAsia="Calibri" w:hAnsi="Calibri" w:cs="Calibri"/>
          <w:color w:val="467886"/>
          <w:sz w:val="24"/>
          <w:szCs w:val="24"/>
        </w:rPr>
      </w:pPr>
    </w:p>
    <w:p w14:paraId="77071922" w14:textId="0B7B584D" w:rsidR="27F73E3A" w:rsidRDefault="1DD887B0" w:rsidP="27F73E3A">
      <w:pPr>
        <w:spacing w:after="0"/>
      </w:pPr>
      <w:r>
        <w:rPr>
          <w:noProof/>
        </w:rPr>
        <w:drawing>
          <wp:inline distT="0" distB="0" distL="0" distR="0" wp14:anchorId="46379EA5" wp14:editId="62C56E11">
            <wp:extent cx="1255885" cy="1627773"/>
            <wp:effectExtent l="0" t="0" r="0" b="0"/>
            <wp:docPr id="1007305092" name="Picture 100730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1255885" cy="1627773"/>
                    </a:xfrm>
                    <a:prstGeom prst="rect">
                      <a:avLst/>
                    </a:prstGeom>
                  </pic:spPr>
                </pic:pic>
              </a:graphicData>
            </a:graphic>
          </wp:inline>
        </w:drawing>
      </w:r>
      <w:r>
        <w:rPr>
          <w:noProof/>
        </w:rPr>
        <w:drawing>
          <wp:inline distT="0" distB="0" distL="0" distR="0" wp14:anchorId="3967FE2E" wp14:editId="140BFC2C">
            <wp:extent cx="1109568" cy="1646063"/>
            <wp:effectExtent l="0" t="0" r="0" b="0"/>
            <wp:docPr id="278047336" name="Picture 27804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109568" cy="1646063"/>
                    </a:xfrm>
                    <a:prstGeom prst="rect">
                      <a:avLst/>
                    </a:prstGeom>
                  </pic:spPr>
                </pic:pic>
              </a:graphicData>
            </a:graphic>
          </wp:inline>
        </w:drawing>
      </w:r>
      <w:r>
        <w:rPr>
          <w:noProof/>
        </w:rPr>
        <w:drawing>
          <wp:inline distT="0" distB="0" distL="0" distR="0" wp14:anchorId="5E5DFEF9" wp14:editId="032B341D">
            <wp:extent cx="1225402" cy="1597290"/>
            <wp:effectExtent l="0" t="0" r="0" b="0"/>
            <wp:docPr id="1352786066" name="Picture 135278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1225402" cy="1597290"/>
                    </a:xfrm>
                    <a:prstGeom prst="rect">
                      <a:avLst/>
                    </a:prstGeom>
                  </pic:spPr>
                </pic:pic>
              </a:graphicData>
            </a:graphic>
          </wp:inline>
        </w:drawing>
      </w:r>
      <w:r>
        <w:rPr>
          <w:noProof/>
        </w:rPr>
        <w:drawing>
          <wp:inline distT="0" distB="0" distL="0" distR="0" wp14:anchorId="0495B4AE" wp14:editId="4E80383D">
            <wp:extent cx="1060796" cy="1597290"/>
            <wp:effectExtent l="0" t="0" r="0" b="0"/>
            <wp:docPr id="1760838078" name="Picture 176083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1060796" cy="1597290"/>
                    </a:xfrm>
                    <a:prstGeom prst="rect">
                      <a:avLst/>
                    </a:prstGeom>
                  </pic:spPr>
                </pic:pic>
              </a:graphicData>
            </a:graphic>
          </wp:inline>
        </w:drawing>
      </w:r>
    </w:p>
    <w:p w14:paraId="7AE784DC" w14:textId="58ED36F1" w:rsidR="00F52E6C" w:rsidRPr="00F52E6C" w:rsidRDefault="2C1E6E8C" w:rsidP="7DFBD1A2">
      <w:pPr>
        <w:spacing w:after="0"/>
      </w:pPr>
      <w:r w:rsidRPr="7DFBD1A2">
        <w:rPr>
          <w:rFonts w:ascii="Aptos" w:eastAsia="Aptos" w:hAnsi="Aptos" w:cs="Aptos"/>
          <w:sz w:val="24"/>
          <w:szCs w:val="24"/>
        </w:rPr>
        <w:t xml:space="preserve"> </w:t>
      </w:r>
    </w:p>
    <w:p w14:paraId="7CFDECC8" w14:textId="598E2A7C" w:rsidR="00F52E6C" w:rsidRPr="00F52E6C" w:rsidRDefault="2C1E6E8C" w:rsidP="7DFBD1A2">
      <w:pPr>
        <w:spacing w:after="0"/>
      </w:pPr>
      <w:r w:rsidRPr="7DFBD1A2">
        <w:rPr>
          <w:rFonts w:ascii="Aptos" w:eastAsia="Aptos" w:hAnsi="Aptos" w:cs="Aptos"/>
          <w:sz w:val="24"/>
          <w:szCs w:val="24"/>
        </w:rPr>
        <w:t xml:space="preserve"> </w:t>
      </w:r>
    </w:p>
    <w:p w14:paraId="6A695370" w14:textId="34826B44" w:rsidR="00F52E6C" w:rsidRPr="00F52E6C" w:rsidRDefault="00F52E6C" w:rsidP="7DFBD1A2">
      <w:pPr>
        <w:spacing w:after="0"/>
      </w:pPr>
    </w:p>
    <w:p w14:paraId="48175869" w14:textId="6276569A" w:rsidR="00F52E6C" w:rsidRPr="00F52E6C" w:rsidRDefault="2C1E6E8C" w:rsidP="7DFBD1A2">
      <w:pPr>
        <w:spacing w:after="0"/>
      </w:pPr>
      <w:r w:rsidRPr="7DFBD1A2">
        <w:rPr>
          <w:rFonts w:ascii="Aptos" w:eastAsia="Aptos" w:hAnsi="Aptos" w:cs="Aptos"/>
          <w:sz w:val="24"/>
          <w:szCs w:val="24"/>
        </w:rPr>
        <w:t xml:space="preserve"> </w:t>
      </w:r>
    </w:p>
    <w:p w14:paraId="7DCBF2D6" w14:textId="30948C2C" w:rsidR="00F52E6C" w:rsidRPr="00F52E6C" w:rsidRDefault="2C1E6E8C" w:rsidP="7DFBD1A2">
      <w:pPr>
        <w:spacing w:after="0"/>
      </w:pPr>
      <w:r w:rsidRPr="7DFBD1A2">
        <w:rPr>
          <w:rFonts w:ascii="Aptos" w:eastAsia="Aptos" w:hAnsi="Aptos" w:cs="Aptos"/>
          <w:sz w:val="24"/>
          <w:szCs w:val="24"/>
        </w:rPr>
        <w:t xml:space="preserve">  </w:t>
      </w:r>
    </w:p>
    <w:p w14:paraId="382BC38C" w14:textId="0142BAF6" w:rsidR="00F52E6C" w:rsidRPr="00F52E6C" w:rsidRDefault="00F52E6C" w:rsidP="00F52E6C"/>
    <w:sectPr w:rsidR="00F52E6C" w:rsidRPr="00F52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F316C"/>
    <w:multiLevelType w:val="hybridMultilevel"/>
    <w:tmpl w:val="FE50ED1A"/>
    <w:lvl w:ilvl="0" w:tplc="8722A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64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91"/>
    <w:rsid w:val="0000015B"/>
    <w:rsid w:val="00023935"/>
    <w:rsid w:val="00030CC1"/>
    <w:rsid w:val="0004643F"/>
    <w:rsid w:val="00050082"/>
    <w:rsid w:val="000600FB"/>
    <w:rsid w:val="00062540"/>
    <w:rsid w:val="0007385E"/>
    <w:rsid w:val="000A5DE1"/>
    <w:rsid w:val="000B0F98"/>
    <w:rsid w:val="000B3C4B"/>
    <w:rsid w:val="000C1A68"/>
    <w:rsid w:val="000D37D1"/>
    <w:rsid w:val="000D7047"/>
    <w:rsid w:val="000F6138"/>
    <w:rsid w:val="00102ECE"/>
    <w:rsid w:val="00145466"/>
    <w:rsid w:val="001709F7"/>
    <w:rsid w:val="001817A6"/>
    <w:rsid w:val="00186FAF"/>
    <w:rsid w:val="001945D5"/>
    <w:rsid w:val="00195F26"/>
    <w:rsid w:val="001A119A"/>
    <w:rsid w:val="001A381F"/>
    <w:rsid w:val="001A4F01"/>
    <w:rsid w:val="001D46A8"/>
    <w:rsid w:val="001D4B83"/>
    <w:rsid w:val="001D6754"/>
    <w:rsid w:val="001F1069"/>
    <w:rsid w:val="001F1C0D"/>
    <w:rsid w:val="00216CB9"/>
    <w:rsid w:val="00221620"/>
    <w:rsid w:val="0025396C"/>
    <w:rsid w:val="002652DE"/>
    <w:rsid w:val="002709B9"/>
    <w:rsid w:val="0027210B"/>
    <w:rsid w:val="0027589B"/>
    <w:rsid w:val="00280232"/>
    <w:rsid w:val="00287113"/>
    <w:rsid w:val="00292430"/>
    <w:rsid w:val="00292641"/>
    <w:rsid w:val="002B7361"/>
    <w:rsid w:val="002C4AED"/>
    <w:rsid w:val="002C7BB2"/>
    <w:rsid w:val="002D18CE"/>
    <w:rsid w:val="002D5916"/>
    <w:rsid w:val="002E02C2"/>
    <w:rsid w:val="002F3654"/>
    <w:rsid w:val="002F74E0"/>
    <w:rsid w:val="0032171F"/>
    <w:rsid w:val="0033632A"/>
    <w:rsid w:val="003547BF"/>
    <w:rsid w:val="00382A91"/>
    <w:rsid w:val="00387D3D"/>
    <w:rsid w:val="003A079F"/>
    <w:rsid w:val="003B2C9E"/>
    <w:rsid w:val="003C5552"/>
    <w:rsid w:val="003C7CA9"/>
    <w:rsid w:val="003D477B"/>
    <w:rsid w:val="003F0435"/>
    <w:rsid w:val="003F11D0"/>
    <w:rsid w:val="00404791"/>
    <w:rsid w:val="0040686C"/>
    <w:rsid w:val="00411EE0"/>
    <w:rsid w:val="00415EEC"/>
    <w:rsid w:val="004378CE"/>
    <w:rsid w:val="00445930"/>
    <w:rsid w:val="00456073"/>
    <w:rsid w:val="004653CC"/>
    <w:rsid w:val="00480F1A"/>
    <w:rsid w:val="004A2066"/>
    <w:rsid w:val="004B5953"/>
    <w:rsid w:val="004C5837"/>
    <w:rsid w:val="004D52BA"/>
    <w:rsid w:val="004E6969"/>
    <w:rsid w:val="004E7F1B"/>
    <w:rsid w:val="00502D23"/>
    <w:rsid w:val="00512011"/>
    <w:rsid w:val="00521488"/>
    <w:rsid w:val="005454BC"/>
    <w:rsid w:val="005555C0"/>
    <w:rsid w:val="00561A1D"/>
    <w:rsid w:val="005653FF"/>
    <w:rsid w:val="005709B3"/>
    <w:rsid w:val="00571C95"/>
    <w:rsid w:val="00576444"/>
    <w:rsid w:val="005A24EB"/>
    <w:rsid w:val="005A7C86"/>
    <w:rsid w:val="005B0A64"/>
    <w:rsid w:val="005C0E4A"/>
    <w:rsid w:val="005D71E1"/>
    <w:rsid w:val="005E5CA0"/>
    <w:rsid w:val="005F2A26"/>
    <w:rsid w:val="005F6135"/>
    <w:rsid w:val="005F64F3"/>
    <w:rsid w:val="00605F88"/>
    <w:rsid w:val="00611ECF"/>
    <w:rsid w:val="00614C5C"/>
    <w:rsid w:val="00620122"/>
    <w:rsid w:val="00651A8A"/>
    <w:rsid w:val="00682CD8"/>
    <w:rsid w:val="00685D98"/>
    <w:rsid w:val="006A7C10"/>
    <w:rsid w:val="006B5DF1"/>
    <w:rsid w:val="006D0D0E"/>
    <w:rsid w:val="006D2C6A"/>
    <w:rsid w:val="006D42FE"/>
    <w:rsid w:val="006D5326"/>
    <w:rsid w:val="006E3491"/>
    <w:rsid w:val="0074269A"/>
    <w:rsid w:val="00751734"/>
    <w:rsid w:val="0076776D"/>
    <w:rsid w:val="00781F61"/>
    <w:rsid w:val="007C067D"/>
    <w:rsid w:val="007D37E2"/>
    <w:rsid w:val="007D4BE8"/>
    <w:rsid w:val="007E0292"/>
    <w:rsid w:val="00851A64"/>
    <w:rsid w:val="00876DED"/>
    <w:rsid w:val="0089056D"/>
    <w:rsid w:val="00896829"/>
    <w:rsid w:val="008B1FC2"/>
    <w:rsid w:val="008C57C4"/>
    <w:rsid w:val="008C64B5"/>
    <w:rsid w:val="008C72C2"/>
    <w:rsid w:val="0090651A"/>
    <w:rsid w:val="00923F57"/>
    <w:rsid w:val="009276BD"/>
    <w:rsid w:val="009400BA"/>
    <w:rsid w:val="00951098"/>
    <w:rsid w:val="00954C88"/>
    <w:rsid w:val="0096199B"/>
    <w:rsid w:val="009758A1"/>
    <w:rsid w:val="00980DA8"/>
    <w:rsid w:val="00990DEB"/>
    <w:rsid w:val="009A0AC7"/>
    <w:rsid w:val="009B4FB8"/>
    <w:rsid w:val="009C2BB1"/>
    <w:rsid w:val="009C3400"/>
    <w:rsid w:val="009C6071"/>
    <w:rsid w:val="009D329C"/>
    <w:rsid w:val="009D3C54"/>
    <w:rsid w:val="00A02737"/>
    <w:rsid w:val="00A03F83"/>
    <w:rsid w:val="00A05929"/>
    <w:rsid w:val="00A12C2C"/>
    <w:rsid w:val="00A47394"/>
    <w:rsid w:val="00A70AB9"/>
    <w:rsid w:val="00A71A66"/>
    <w:rsid w:val="00AC0F36"/>
    <w:rsid w:val="00AC1588"/>
    <w:rsid w:val="00AC705A"/>
    <w:rsid w:val="00AD34CF"/>
    <w:rsid w:val="00AE58AD"/>
    <w:rsid w:val="00AE7041"/>
    <w:rsid w:val="00AF6B3E"/>
    <w:rsid w:val="00B05877"/>
    <w:rsid w:val="00B35CAF"/>
    <w:rsid w:val="00B50FA0"/>
    <w:rsid w:val="00B648F3"/>
    <w:rsid w:val="00B64B97"/>
    <w:rsid w:val="00B8191A"/>
    <w:rsid w:val="00B96628"/>
    <w:rsid w:val="00BB65A2"/>
    <w:rsid w:val="00BC3EDC"/>
    <w:rsid w:val="00BD4BA2"/>
    <w:rsid w:val="00BE230B"/>
    <w:rsid w:val="00BE7174"/>
    <w:rsid w:val="00C02D6D"/>
    <w:rsid w:val="00C3069D"/>
    <w:rsid w:val="00C443CD"/>
    <w:rsid w:val="00C46A6A"/>
    <w:rsid w:val="00C6073B"/>
    <w:rsid w:val="00C674DB"/>
    <w:rsid w:val="00C7164D"/>
    <w:rsid w:val="00C74E20"/>
    <w:rsid w:val="00C77A59"/>
    <w:rsid w:val="00C945CF"/>
    <w:rsid w:val="00CB7D34"/>
    <w:rsid w:val="00CC19FE"/>
    <w:rsid w:val="00CE0B69"/>
    <w:rsid w:val="00CF2A41"/>
    <w:rsid w:val="00D113CE"/>
    <w:rsid w:val="00D27376"/>
    <w:rsid w:val="00D34916"/>
    <w:rsid w:val="00D34B58"/>
    <w:rsid w:val="00D42785"/>
    <w:rsid w:val="00D525A2"/>
    <w:rsid w:val="00D54C83"/>
    <w:rsid w:val="00D604C2"/>
    <w:rsid w:val="00D60A10"/>
    <w:rsid w:val="00D6394A"/>
    <w:rsid w:val="00D72695"/>
    <w:rsid w:val="00D82B3A"/>
    <w:rsid w:val="00D87331"/>
    <w:rsid w:val="00D87894"/>
    <w:rsid w:val="00D930CA"/>
    <w:rsid w:val="00DA1632"/>
    <w:rsid w:val="00DB4849"/>
    <w:rsid w:val="00DB5C10"/>
    <w:rsid w:val="00DC256C"/>
    <w:rsid w:val="00E01D65"/>
    <w:rsid w:val="00E27A6C"/>
    <w:rsid w:val="00E377F9"/>
    <w:rsid w:val="00E8790D"/>
    <w:rsid w:val="00E96F16"/>
    <w:rsid w:val="00EA7A1C"/>
    <w:rsid w:val="00EC4909"/>
    <w:rsid w:val="00EC75CB"/>
    <w:rsid w:val="00ED6379"/>
    <w:rsid w:val="00EE17EA"/>
    <w:rsid w:val="00EE195A"/>
    <w:rsid w:val="00F069FB"/>
    <w:rsid w:val="00F1163D"/>
    <w:rsid w:val="00F16FDC"/>
    <w:rsid w:val="00F2052D"/>
    <w:rsid w:val="00F220E8"/>
    <w:rsid w:val="00F23926"/>
    <w:rsid w:val="00F349D2"/>
    <w:rsid w:val="00F52E6C"/>
    <w:rsid w:val="00F57E2D"/>
    <w:rsid w:val="00F83AC6"/>
    <w:rsid w:val="00F97E6B"/>
    <w:rsid w:val="00FD1ED6"/>
    <w:rsid w:val="00FF6B78"/>
    <w:rsid w:val="023454C0"/>
    <w:rsid w:val="04424DA9"/>
    <w:rsid w:val="04F2FE6C"/>
    <w:rsid w:val="05E5772A"/>
    <w:rsid w:val="0823F58B"/>
    <w:rsid w:val="0B11A82B"/>
    <w:rsid w:val="0C4AF88A"/>
    <w:rsid w:val="0CA06102"/>
    <w:rsid w:val="114C961F"/>
    <w:rsid w:val="1332ED15"/>
    <w:rsid w:val="1432621B"/>
    <w:rsid w:val="14B004C2"/>
    <w:rsid w:val="165B9A85"/>
    <w:rsid w:val="16BF7F04"/>
    <w:rsid w:val="17F12752"/>
    <w:rsid w:val="1A54B237"/>
    <w:rsid w:val="1AD9B98B"/>
    <w:rsid w:val="1AED52CA"/>
    <w:rsid w:val="1C4A51D7"/>
    <w:rsid w:val="1C7BC14C"/>
    <w:rsid w:val="1DD887B0"/>
    <w:rsid w:val="2056343B"/>
    <w:rsid w:val="22924276"/>
    <w:rsid w:val="25E7C6F6"/>
    <w:rsid w:val="278A1021"/>
    <w:rsid w:val="27F73E3A"/>
    <w:rsid w:val="29538832"/>
    <w:rsid w:val="29A7712A"/>
    <w:rsid w:val="2B97E2B1"/>
    <w:rsid w:val="2BBE5C80"/>
    <w:rsid w:val="2C1E6E8C"/>
    <w:rsid w:val="2EDCF79A"/>
    <w:rsid w:val="321BF29B"/>
    <w:rsid w:val="32E04554"/>
    <w:rsid w:val="39838AF1"/>
    <w:rsid w:val="398E3D61"/>
    <w:rsid w:val="3A1309A2"/>
    <w:rsid w:val="3AD1AD8F"/>
    <w:rsid w:val="3C5E3B57"/>
    <w:rsid w:val="3CE38529"/>
    <w:rsid w:val="3E911120"/>
    <w:rsid w:val="3E93D3A7"/>
    <w:rsid w:val="3EC36B77"/>
    <w:rsid w:val="3F43775F"/>
    <w:rsid w:val="3FC6B814"/>
    <w:rsid w:val="40678E05"/>
    <w:rsid w:val="418C497E"/>
    <w:rsid w:val="42E2E692"/>
    <w:rsid w:val="45C6E668"/>
    <w:rsid w:val="46195864"/>
    <w:rsid w:val="46E0F5A4"/>
    <w:rsid w:val="47F579FE"/>
    <w:rsid w:val="49276359"/>
    <w:rsid w:val="493CF130"/>
    <w:rsid w:val="49A7E8B9"/>
    <w:rsid w:val="49F477E6"/>
    <w:rsid w:val="4B6638CC"/>
    <w:rsid w:val="4C07C959"/>
    <w:rsid w:val="5094C739"/>
    <w:rsid w:val="50E657F4"/>
    <w:rsid w:val="51C67798"/>
    <w:rsid w:val="51DEA2DB"/>
    <w:rsid w:val="53CF9781"/>
    <w:rsid w:val="543BE670"/>
    <w:rsid w:val="55D22E40"/>
    <w:rsid w:val="58CFB2E1"/>
    <w:rsid w:val="595BD666"/>
    <w:rsid w:val="5A73D56F"/>
    <w:rsid w:val="5DFE4DF8"/>
    <w:rsid w:val="61AEA1C1"/>
    <w:rsid w:val="61D33716"/>
    <w:rsid w:val="61E5E9AE"/>
    <w:rsid w:val="62165E10"/>
    <w:rsid w:val="621E7F40"/>
    <w:rsid w:val="64741762"/>
    <w:rsid w:val="6528EDA1"/>
    <w:rsid w:val="664B6C38"/>
    <w:rsid w:val="675198C6"/>
    <w:rsid w:val="6803AD3D"/>
    <w:rsid w:val="6ABEEDDE"/>
    <w:rsid w:val="6C6D5174"/>
    <w:rsid w:val="6CE10012"/>
    <w:rsid w:val="7147BC66"/>
    <w:rsid w:val="72269492"/>
    <w:rsid w:val="72C40B76"/>
    <w:rsid w:val="737DB95D"/>
    <w:rsid w:val="75C8ED3A"/>
    <w:rsid w:val="77F96523"/>
    <w:rsid w:val="79646EC4"/>
    <w:rsid w:val="7B8BCB49"/>
    <w:rsid w:val="7C2B7D1C"/>
    <w:rsid w:val="7CDCFC00"/>
    <w:rsid w:val="7DFBD1A2"/>
    <w:rsid w:val="7F6F9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D045"/>
  <w15:chartTrackingRefBased/>
  <w15:docId w15:val="{7A4017B5-D9CF-484E-8C9D-4554ECEB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7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47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2E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791"/>
    <w:pPr>
      <w:ind w:left="720"/>
      <w:contextualSpacing/>
    </w:pPr>
  </w:style>
  <w:style w:type="paragraph" w:styleId="Title">
    <w:name w:val="Title"/>
    <w:basedOn w:val="Normal"/>
    <w:next w:val="Normal"/>
    <w:link w:val="TitleChar"/>
    <w:uiPriority w:val="10"/>
    <w:qFormat/>
    <w:rsid w:val="004047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7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791"/>
    <w:rPr>
      <w:rFonts w:eastAsiaTheme="minorEastAsia"/>
      <w:color w:val="5A5A5A" w:themeColor="text1" w:themeTint="A5"/>
      <w:spacing w:val="15"/>
    </w:rPr>
  </w:style>
  <w:style w:type="character" w:styleId="SubtleEmphasis">
    <w:name w:val="Subtle Emphasis"/>
    <w:basedOn w:val="DefaultParagraphFont"/>
    <w:uiPriority w:val="19"/>
    <w:qFormat/>
    <w:rsid w:val="00404791"/>
    <w:rPr>
      <w:i/>
      <w:iCs/>
      <w:color w:val="404040" w:themeColor="text1" w:themeTint="BF"/>
    </w:rPr>
  </w:style>
  <w:style w:type="character" w:customStyle="1" w:styleId="Heading1Char">
    <w:name w:val="Heading 1 Char"/>
    <w:basedOn w:val="DefaultParagraphFont"/>
    <w:link w:val="Heading1"/>
    <w:uiPriority w:val="9"/>
    <w:rsid w:val="004047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0479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04791"/>
    <w:rPr>
      <w:color w:val="0563C1" w:themeColor="hyperlink"/>
      <w:u w:val="single"/>
    </w:rPr>
  </w:style>
  <w:style w:type="paragraph" w:styleId="IntenseQuote">
    <w:name w:val="Intense Quote"/>
    <w:basedOn w:val="Normal"/>
    <w:next w:val="Normal"/>
    <w:link w:val="IntenseQuoteChar"/>
    <w:uiPriority w:val="30"/>
    <w:qFormat/>
    <w:rsid w:val="0040479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04791"/>
    <w:rPr>
      <w:i/>
      <w:iCs/>
      <w:color w:val="4472C4" w:themeColor="accent1"/>
    </w:rPr>
  </w:style>
  <w:style w:type="character" w:styleId="Emphasis">
    <w:name w:val="Emphasis"/>
    <w:basedOn w:val="DefaultParagraphFont"/>
    <w:uiPriority w:val="20"/>
    <w:qFormat/>
    <w:rsid w:val="001945D5"/>
    <w:rPr>
      <w:i/>
      <w:iCs/>
    </w:rPr>
  </w:style>
  <w:style w:type="paragraph" w:styleId="NormalWeb">
    <w:name w:val="Normal (Web)"/>
    <w:basedOn w:val="Normal"/>
    <w:uiPriority w:val="99"/>
    <w:unhideWhenUsed/>
    <w:rsid w:val="003F043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3F043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F0435"/>
    <w:rPr>
      <w:rFonts w:ascii="Arial" w:eastAsia="Times New Roman" w:hAnsi="Arial" w:cs="Arial"/>
      <w:vanish/>
      <w:kern w:val="0"/>
      <w:sz w:val="16"/>
      <w:szCs w:val="16"/>
      <w14:ligatures w14:val="none"/>
    </w:rPr>
  </w:style>
  <w:style w:type="character" w:customStyle="1" w:styleId="ui-provider">
    <w:name w:val="ui-provider"/>
    <w:basedOn w:val="DefaultParagraphFont"/>
    <w:rsid w:val="003F0435"/>
  </w:style>
  <w:style w:type="character" w:styleId="UnresolvedMention">
    <w:name w:val="Unresolved Mention"/>
    <w:basedOn w:val="DefaultParagraphFont"/>
    <w:uiPriority w:val="99"/>
    <w:semiHidden/>
    <w:unhideWhenUsed/>
    <w:rsid w:val="003F0435"/>
    <w:rPr>
      <w:color w:val="605E5C"/>
      <w:shd w:val="clear" w:color="auto" w:fill="E1DFDD"/>
    </w:rPr>
  </w:style>
  <w:style w:type="character" w:customStyle="1" w:styleId="Heading3Char">
    <w:name w:val="Heading 3 Char"/>
    <w:basedOn w:val="DefaultParagraphFont"/>
    <w:link w:val="Heading3"/>
    <w:uiPriority w:val="9"/>
    <w:rsid w:val="00102ECE"/>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D6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06097">
      <w:bodyDiv w:val="1"/>
      <w:marLeft w:val="0"/>
      <w:marRight w:val="0"/>
      <w:marTop w:val="0"/>
      <w:marBottom w:val="0"/>
      <w:divBdr>
        <w:top w:val="none" w:sz="0" w:space="0" w:color="auto"/>
        <w:left w:val="none" w:sz="0" w:space="0" w:color="auto"/>
        <w:bottom w:val="none" w:sz="0" w:space="0" w:color="auto"/>
        <w:right w:val="none" w:sz="0" w:space="0" w:color="auto"/>
      </w:divBdr>
    </w:div>
    <w:div w:id="349793756">
      <w:bodyDiv w:val="1"/>
      <w:marLeft w:val="0"/>
      <w:marRight w:val="0"/>
      <w:marTop w:val="0"/>
      <w:marBottom w:val="0"/>
      <w:divBdr>
        <w:top w:val="none" w:sz="0" w:space="0" w:color="auto"/>
        <w:left w:val="none" w:sz="0" w:space="0" w:color="auto"/>
        <w:bottom w:val="none" w:sz="0" w:space="0" w:color="auto"/>
        <w:right w:val="none" w:sz="0" w:space="0" w:color="auto"/>
      </w:divBdr>
      <w:divsChild>
        <w:div w:id="287204750">
          <w:marLeft w:val="0"/>
          <w:marRight w:val="0"/>
          <w:marTop w:val="0"/>
          <w:marBottom w:val="0"/>
          <w:divBdr>
            <w:top w:val="none" w:sz="0" w:space="0" w:color="auto"/>
            <w:left w:val="none" w:sz="0" w:space="0" w:color="auto"/>
            <w:bottom w:val="none" w:sz="0" w:space="0" w:color="auto"/>
            <w:right w:val="none" w:sz="0" w:space="0" w:color="auto"/>
          </w:divBdr>
        </w:div>
        <w:div w:id="876284030">
          <w:marLeft w:val="0"/>
          <w:marRight w:val="0"/>
          <w:marTop w:val="0"/>
          <w:marBottom w:val="0"/>
          <w:divBdr>
            <w:top w:val="single" w:sz="2" w:space="0" w:color="E3E3E3"/>
            <w:left w:val="single" w:sz="2" w:space="0" w:color="E3E3E3"/>
            <w:bottom w:val="single" w:sz="2" w:space="0" w:color="E3E3E3"/>
            <w:right w:val="single" w:sz="2" w:space="0" w:color="E3E3E3"/>
          </w:divBdr>
          <w:divsChild>
            <w:div w:id="1971663877">
              <w:marLeft w:val="0"/>
              <w:marRight w:val="0"/>
              <w:marTop w:val="0"/>
              <w:marBottom w:val="0"/>
              <w:divBdr>
                <w:top w:val="single" w:sz="2" w:space="0" w:color="E3E3E3"/>
                <w:left w:val="single" w:sz="2" w:space="0" w:color="E3E3E3"/>
                <w:bottom w:val="single" w:sz="2" w:space="0" w:color="E3E3E3"/>
                <w:right w:val="single" w:sz="2" w:space="0" w:color="E3E3E3"/>
              </w:divBdr>
              <w:divsChild>
                <w:div w:id="366107661">
                  <w:marLeft w:val="0"/>
                  <w:marRight w:val="0"/>
                  <w:marTop w:val="0"/>
                  <w:marBottom w:val="0"/>
                  <w:divBdr>
                    <w:top w:val="single" w:sz="2" w:space="0" w:color="E3E3E3"/>
                    <w:left w:val="single" w:sz="2" w:space="0" w:color="E3E3E3"/>
                    <w:bottom w:val="single" w:sz="2" w:space="0" w:color="E3E3E3"/>
                    <w:right w:val="single" w:sz="2" w:space="0" w:color="E3E3E3"/>
                  </w:divBdr>
                  <w:divsChild>
                    <w:div w:id="1443187161">
                      <w:marLeft w:val="0"/>
                      <w:marRight w:val="0"/>
                      <w:marTop w:val="0"/>
                      <w:marBottom w:val="0"/>
                      <w:divBdr>
                        <w:top w:val="single" w:sz="2" w:space="0" w:color="E3E3E3"/>
                        <w:left w:val="single" w:sz="2" w:space="0" w:color="E3E3E3"/>
                        <w:bottom w:val="single" w:sz="2" w:space="0" w:color="E3E3E3"/>
                        <w:right w:val="single" w:sz="2" w:space="0" w:color="E3E3E3"/>
                      </w:divBdr>
                      <w:divsChild>
                        <w:div w:id="644355573">
                          <w:marLeft w:val="0"/>
                          <w:marRight w:val="0"/>
                          <w:marTop w:val="0"/>
                          <w:marBottom w:val="0"/>
                          <w:divBdr>
                            <w:top w:val="single" w:sz="2" w:space="0" w:color="E3E3E3"/>
                            <w:left w:val="single" w:sz="2" w:space="0" w:color="E3E3E3"/>
                            <w:bottom w:val="single" w:sz="2" w:space="0" w:color="E3E3E3"/>
                            <w:right w:val="single" w:sz="2" w:space="0" w:color="E3E3E3"/>
                          </w:divBdr>
                          <w:divsChild>
                            <w:div w:id="77026581">
                              <w:marLeft w:val="0"/>
                              <w:marRight w:val="0"/>
                              <w:marTop w:val="100"/>
                              <w:marBottom w:val="100"/>
                              <w:divBdr>
                                <w:top w:val="single" w:sz="2" w:space="0" w:color="E3E3E3"/>
                                <w:left w:val="single" w:sz="2" w:space="0" w:color="E3E3E3"/>
                                <w:bottom w:val="single" w:sz="2" w:space="0" w:color="E3E3E3"/>
                                <w:right w:val="single" w:sz="2" w:space="0" w:color="E3E3E3"/>
                              </w:divBdr>
                              <w:divsChild>
                                <w:div w:id="1708791883">
                                  <w:marLeft w:val="0"/>
                                  <w:marRight w:val="0"/>
                                  <w:marTop w:val="0"/>
                                  <w:marBottom w:val="0"/>
                                  <w:divBdr>
                                    <w:top w:val="single" w:sz="2" w:space="0" w:color="E3E3E3"/>
                                    <w:left w:val="single" w:sz="2" w:space="0" w:color="E3E3E3"/>
                                    <w:bottom w:val="single" w:sz="2" w:space="0" w:color="E3E3E3"/>
                                    <w:right w:val="single" w:sz="2" w:space="0" w:color="E3E3E3"/>
                                  </w:divBdr>
                                  <w:divsChild>
                                    <w:div w:id="241330990">
                                      <w:marLeft w:val="0"/>
                                      <w:marRight w:val="0"/>
                                      <w:marTop w:val="0"/>
                                      <w:marBottom w:val="0"/>
                                      <w:divBdr>
                                        <w:top w:val="single" w:sz="2" w:space="0" w:color="E3E3E3"/>
                                        <w:left w:val="single" w:sz="2" w:space="0" w:color="E3E3E3"/>
                                        <w:bottom w:val="single" w:sz="2" w:space="0" w:color="E3E3E3"/>
                                        <w:right w:val="single" w:sz="2" w:space="0" w:color="E3E3E3"/>
                                      </w:divBdr>
                                      <w:divsChild>
                                        <w:div w:id="2134444019">
                                          <w:marLeft w:val="0"/>
                                          <w:marRight w:val="0"/>
                                          <w:marTop w:val="0"/>
                                          <w:marBottom w:val="0"/>
                                          <w:divBdr>
                                            <w:top w:val="single" w:sz="2" w:space="0" w:color="E3E3E3"/>
                                            <w:left w:val="single" w:sz="2" w:space="0" w:color="E3E3E3"/>
                                            <w:bottom w:val="single" w:sz="2" w:space="0" w:color="E3E3E3"/>
                                            <w:right w:val="single" w:sz="2" w:space="0" w:color="E3E3E3"/>
                                          </w:divBdr>
                                          <w:divsChild>
                                            <w:div w:id="393047595">
                                              <w:marLeft w:val="0"/>
                                              <w:marRight w:val="0"/>
                                              <w:marTop w:val="0"/>
                                              <w:marBottom w:val="0"/>
                                              <w:divBdr>
                                                <w:top w:val="single" w:sz="2" w:space="0" w:color="E3E3E3"/>
                                                <w:left w:val="single" w:sz="2" w:space="0" w:color="E3E3E3"/>
                                                <w:bottom w:val="single" w:sz="2" w:space="0" w:color="E3E3E3"/>
                                                <w:right w:val="single" w:sz="2" w:space="0" w:color="E3E3E3"/>
                                              </w:divBdr>
                                              <w:divsChild>
                                                <w:div w:id="1207402369">
                                                  <w:marLeft w:val="0"/>
                                                  <w:marRight w:val="0"/>
                                                  <w:marTop w:val="0"/>
                                                  <w:marBottom w:val="0"/>
                                                  <w:divBdr>
                                                    <w:top w:val="single" w:sz="2" w:space="0" w:color="E3E3E3"/>
                                                    <w:left w:val="single" w:sz="2" w:space="0" w:color="E3E3E3"/>
                                                    <w:bottom w:val="single" w:sz="2" w:space="0" w:color="E3E3E3"/>
                                                    <w:right w:val="single" w:sz="2" w:space="0" w:color="E3E3E3"/>
                                                  </w:divBdr>
                                                  <w:divsChild>
                                                    <w:div w:id="701635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137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files.eric.ed.gov/fulltext/EJ979639.pdf" TargetMode="Externa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yperlink" Target="https://www.sciencedirect.com/science/article/abs/pii/S0360131516301300" TargetMode="External"/><Relationship Id="rId34" Type="http://schemas.openxmlformats.org/officeDocument/2006/relationships/image" Target="media/image10.png"/><Relationship Id="rId7" Type="http://schemas.openxmlformats.org/officeDocument/2006/relationships/hyperlink" Target="https://www.leadinglearning.com/episode-364-adult-learning-theory/" TargetMode="External"/><Relationship Id="rId12" Type="http://schemas.openxmlformats.org/officeDocument/2006/relationships/image" Target="media/image1.png"/><Relationship Id="rId17" Type="http://schemas.openxmlformats.org/officeDocument/2006/relationships/hyperlink" Target="https://www.cael.org/" TargetMode="External"/><Relationship Id="rId25" Type="http://schemas.openxmlformats.org/officeDocument/2006/relationships/hyperlink" Target="https://edu1040.teluq.ca/teluqDownload.php?file=2017/01/Merriam.pdf" TargetMode="External"/><Relationship Id="rId33" Type="http://schemas.openxmlformats.org/officeDocument/2006/relationships/hyperlink" Target="https://www.tc.columbia.edu/organization-and-leadership/adult-learning-and-leadership/resources/major-journal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aace.org/page/WhoWeAre" TargetMode="External"/><Relationship Id="rId20" Type="http://schemas.openxmlformats.org/officeDocument/2006/relationships/hyperlink" Target="https://files.eric.ed.gov/fulltext/EJ930244.pdf"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hyperlink" Target="https://www.insidehighered.com/news/student-success/college-experience/2024/02/21/podcast-colleges-role-adult-learner-student?utm_source=Inside+Higher+Ed&amp;amp;utm_campaign=7c807d4da4-S2_DailyNews_COPY_01&amp;amp;utm_medium=email&amp;amp;utm_term=0_-284161f8c0-%5BLIST_EMAIL_ID%5D&amp;amp;mc_cid=7c807d4da4&amp;amp;mc_eid=9656d9af9a" TargetMode="External"/><Relationship Id="rId11" Type="http://schemas.openxmlformats.org/officeDocument/2006/relationships/hyperlink" Target="https://connect.chronicle.com/rs/931-EKA-218/images/casestudy_Former%20Students_Ascendiumv4.pdf" TargetMode="External"/><Relationship Id="rId24" Type="http://schemas.openxmlformats.org/officeDocument/2006/relationships/hyperlink" Target="https://www.sciedupress.com/journal/index.php/jnep/article/download/20531/12758" TargetMode="External"/><Relationship Id="rId32" Type="http://schemas.openxmlformats.org/officeDocument/2006/relationships/image" Target="media/image9.jpeg"/><Relationship Id="rId37"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www.aaace.org/page/WhoWeAre" TargetMode="External"/><Relationship Id="rId23" Type="http://schemas.openxmlformats.org/officeDocument/2006/relationships/hyperlink" Target="https://www.psychologicalscience.org/observer/creating-the-foundation-for-a-warm-classroom-climate" TargetMode="External"/><Relationship Id="rId28" Type="http://schemas.openxmlformats.org/officeDocument/2006/relationships/image" Target="media/image5.jpeg"/><Relationship Id="rId36" Type="http://schemas.openxmlformats.org/officeDocument/2006/relationships/image" Target="media/image12.png"/><Relationship Id="rId10" Type="http://schemas.openxmlformats.org/officeDocument/2006/relationships/hyperlink" Target="https://www.tc.columbia.edu/organization-and-leadership/adult-learning-and-leadership/resources/essential-references/" TargetMode="External"/><Relationship Id="rId19" Type="http://schemas.openxmlformats.org/officeDocument/2006/relationships/hyperlink" Target="https://jiped.ub.ro/archives/3320"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uis.edu/colrs/teaching-resources/foundations-good-teaching/pedagogy-andragogy-heutagogy" TargetMode="External"/><Relationship Id="rId14" Type="http://schemas.openxmlformats.org/officeDocument/2006/relationships/hyperlink" Target="https://www.aaace.org/" TargetMode="External"/><Relationship Id="rId22" Type="http://schemas.openxmlformats.org/officeDocument/2006/relationships/hyperlink" Target="https://oaa.osu.edu/sites/default/files/uploads/nfo/2019/Fornaciari-and-Dean-21st-Century-Syllabus-2013.pdf"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1.png"/><Relationship Id="rId8" Type="http://schemas.openxmlformats.org/officeDocument/2006/relationships/hyperlink" Target="https://teachingandlearning.knowledgeowl.com/docs/syllabus-language-sets-the-tone-for-your-cours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1A93-8A0E-4C35-9F59-999E979A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1393</Words>
  <Characters>7944</Characters>
  <Application>Microsoft Office Word</Application>
  <DocSecurity>0</DocSecurity>
  <Lines>66</Lines>
  <Paragraphs>18</Paragraphs>
  <ScaleCrop>false</ScaleCrop>
  <Company>William Paterson University</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Tajes, Maria</dc:creator>
  <cp:keywords/>
  <dc:description/>
  <cp:lastModifiedBy>Tajes, Maria</cp:lastModifiedBy>
  <cp:revision>2</cp:revision>
  <dcterms:created xsi:type="dcterms:W3CDTF">2024-04-22T15:51:00Z</dcterms:created>
  <dcterms:modified xsi:type="dcterms:W3CDTF">2024-04-22T15:51:00Z</dcterms:modified>
</cp:coreProperties>
</file>