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255"/>
        <w:gridCol w:w="450"/>
        <w:gridCol w:w="990"/>
        <w:gridCol w:w="450"/>
        <w:gridCol w:w="203"/>
        <w:gridCol w:w="697"/>
        <w:gridCol w:w="1080"/>
        <w:gridCol w:w="630"/>
        <w:gridCol w:w="1710"/>
        <w:gridCol w:w="586"/>
        <w:gridCol w:w="674"/>
        <w:gridCol w:w="1890"/>
      </w:tblGrid>
      <w:tr w:rsidR="00505FC4" w:rsidRPr="00752727" w:rsidTr="0040431E">
        <w:trPr>
          <w:trHeight w:val="723"/>
        </w:trPr>
        <w:tc>
          <w:tcPr>
            <w:tcW w:w="3145" w:type="dxa"/>
            <w:gridSpan w:val="4"/>
            <w:tcBorders>
              <w:top w:val="single" w:sz="4" w:space="0" w:color="auto"/>
              <w:left w:val="single" w:sz="4" w:space="0" w:color="auto"/>
              <w:bottom w:val="single" w:sz="4" w:space="0" w:color="auto"/>
              <w:right w:val="nil"/>
            </w:tcBorders>
            <w:shd w:val="clear" w:color="auto" w:fill="ED7D31"/>
            <w:tcMar>
              <w:top w:w="0" w:type="dxa"/>
              <w:left w:w="108" w:type="dxa"/>
              <w:bottom w:w="0" w:type="dxa"/>
              <w:right w:w="108" w:type="dxa"/>
            </w:tcMar>
            <w:hideMark/>
          </w:tcPr>
          <w:p w:rsidR="00505FC4" w:rsidRPr="00752727" w:rsidRDefault="00590250" w:rsidP="000A7794">
            <w:pPr>
              <w:spacing w:after="0" w:line="276" w:lineRule="auto"/>
              <w:ind w:left="-180"/>
              <w:rPr>
                <w:b/>
                <w:bCs/>
                <w:i/>
                <w:iCs/>
                <w:color w:val="3378CB"/>
              </w:rPr>
            </w:pPr>
            <w:r>
              <w:rPr>
                <w:noProof/>
              </w:rPr>
              <w:drawing>
                <wp:anchor distT="0" distB="0" distL="114300" distR="114300" simplePos="0" relativeHeight="251659264" behindDoc="0" locked="0" layoutInCell="1" allowOverlap="1" wp14:anchorId="0D5E5E47" wp14:editId="78537ADE">
                  <wp:simplePos x="0" y="0"/>
                  <wp:positionH relativeFrom="column">
                    <wp:posOffset>-6350</wp:posOffset>
                  </wp:positionH>
                  <wp:positionV relativeFrom="paragraph">
                    <wp:posOffset>7620</wp:posOffset>
                  </wp:positionV>
                  <wp:extent cx="2459355" cy="431165"/>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9355" cy="4311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470" w:type="dxa"/>
            <w:gridSpan w:val="8"/>
            <w:tcBorders>
              <w:top w:val="single" w:sz="4" w:space="0" w:color="auto"/>
              <w:left w:val="nil"/>
              <w:bottom w:val="single" w:sz="4" w:space="0" w:color="auto"/>
              <w:right w:val="single" w:sz="4" w:space="0" w:color="auto"/>
            </w:tcBorders>
            <w:shd w:val="clear" w:color="auto" w:fill="ED7D31"/>
            <w:vAlign w:val="center"/>
          </w:tcPr>
          <w:p w:rsidR="00505FC4" w:rsidRDefault="00505FC4" w:rsidP="000A7794">
            <w:pPr>
              <w:spacing w:before="20" w:after="0" w:line="240" w:lineRule="auto"/>
              <w:rPr>
                <w:b/>
                <w:bCs/>
                <w:i/>
                <w:iCs/>
                <w:color w:val="000000"/>
                <w:sz w:val="24"/>
                <w:szCs w:val="24"/>
              </w:rPr>
            </w:pPr>
            <w:r>
              <w:rPr>
                <w:b/>
                <w:bCs/>
                <w:i/>
                <w:iCs/>
                <w:color w:val="000000"/>
                <w:sz w:val="24"/>
                <w:szCs w:val="24"/>
              </w:rPr>
              <w:t xml:space="preserve">    </w:t>
            </w:r>
            <w:r w:rsidR="00590250">
              <w:rPr>
                <w:b/>
                <w:bCs/>
                <w:i/>
                <w:iCs/>
                <w:color w:val="000000"/>
                <w:sz w:val="24"/>
                <w:szCs w:val="24"/>
              </w:rPr>
              <w:t xml:space="preserve">                   </w:t>
            </w:r>
            <w:r>
              <w:rPr>
                <w:b/>
                <w:bCs/>
                <w:i/>
                <w:iCs/>
                <w:color w:val="000000"/>
                <w:sz w:val="24"/>
                <w:szCs w:val="24"/>
              </w:rPr>
              <w:t>Office of Sponsored Progr</w:t>
            </w:r>
            <w:r w:rsidR="00590250">
              <w:rPr>
                <w:b/>
                <w:bCs/>
                <w:i/>
                <w:iCs/>
                <w:color w:val="000000"/>
                <w:sz w:val="24"/>
                <w:szCs w:val="24"/>
              </w:rPr>
              <w:t xml:space="preserve">ams      Raubinger Hall 309 </w:t>
            </w:r>
          </w:p>
          <w:p w:rsidR="00505FC4" w:rsidRPr="00F8446F" w:rsidRDefault="00505FC4" w:rsidP="000A7794">
            <w:pPr>
              <w:spacing w:before="20" w:after="0" w:line="240" w:lineRule="auto"/>
              <w:rPr>
                <w:b/>
                <w:bCs/>
                <w:iCs/>
                <w:color w:val="000000"/>
                <w:sz w:val="24"/>
                <w:szCs w:val="24"/>
              </w:rPr>
            </w:pPr>
            <w:r>
              <w:rPr>
                <w:b/>
                <w:bCs/>
                <w:i/>
                <w:iCs/>
                <w:color w:val="000000"/>
                <w:sz w:val="24"/>
                <w:szCs w:val="24"/>
              </w:rPr>
              <w:t xml:space="preserve">    </w:t>
            </w:r>
            <w:r w:rsidR="00590250">
              <w:rPr>
                <w:b/>
                <w:bCs/>
                <w:i/>
                <w:iCs/>
                <w:color w:val="000000"/>
                <w:sz w:val="24"/>
                <w:szCs w:val="24"/>
              </w:rPr>
              <w:t xml:space="preserve">                   </w:t>
            </w:r>
            <w:r>
              <w:rPr>
                <w:b/>
                <w:bCs/>
                <w:i/>
                <w:iCs/>
                <w:color w:val="000000"/>
                <w:sz w:val="24"/>
                <w:szCs w:val="24"/>
              </w:rPr>
              <w:t xml:space="preserve">973-720-2852   </w:t>
            </w:r>
            <w:hyperlink r:id="rId9" w:history="1">
              <w:r>
                <w:rPr>
                  <w:rStyle w:val="Hyperlink"/>
                  <w:b/>
                  <w:sz w:val="24"/>
                  <w:szCs w:val="24"/>
                </w:rPr>
                <w:t>grants@wpunj.edu</w:t>
              </w:r>
            </w:hyperlink>
            <w:r>
              <w:rPr>
                <w:color w:val="0000FF"/>
                <w:sz w:val="24"/>
                <w:szCs w:val="24"/>
              </w:rPr>
              <w:t xml:space="preserve">    </w:t>
            </w:r>
            <w:hyperlink r:id="rId10" w:history="1">
              <w:r>
                <w:rPr>
                  <w:rStyle w:val="Hyperlink"/>
                  <w:b/>
                  <w:sz w:val="24"/>
                  <w:szCs w:val="24"/>
                </w:rPr>
                <w:t>www.wpunj.edu/osp</w:t>
              </w:r>
            </w:hyperlink>
          </w:p>
        </w:tc>
      </w:tr>
      <w:tr w:rsidR="00505FC4" w:rsidRPr="00752727" w:rsidTr="0072678C">
        <w:trPr>
          <w:trHeight w:val="273"/>
        </w:trPr>
        <w:tc>
          <w:tcPr>
            <w:tcW w:w="8051" w:type="dxa"/>
            <w:gridSpan w:val="10"/>
            <w:tcBorders>
              <w:top w:val="single" w:sz="4" w:space="0" w:color="auto"/>
              <w:left w:val="single" w:sz="4" w:space="0" w:color="auto"/>
              <w:bottom w:val="single" w:sz="4" w:space="0" w:color="auto"/>
            </w:tcBorders>
            <w:shd w:val="clear" w:color="auto" w:fill="000000"/>
            <w:tcMar>
              <w:top w:w="0" w:type="dxa"/>
              <w:left w:w="108" w:type="dxa"/>
              <w:bottom w:w="0" w:type="dxa"/>
              <w:right w:w="108" w:type="dxa"/>
            </w:tcMar>
            <w:vAlign w:val="center"/>
          </w:tcPr>
          <w:p w:rsidR="00505FC4" w:rsidRPr="00752727" w:rsidRDefault="00505FC4" w:rsidP="000A7794">
            <w:pPr>
              <w:spacing w:after="0" w:line="240" w:lineRule="auto"/>
              <w:rPr>
                <w:rFonts w:ascii="Palatino Linotype" w:hAnsi="Palatino Linotype" w:cs="Arial"/>
                <w:b/>
                <w:iCs/>
                <w:sz w:val="24"/>
                <w:szCs w:val="24"/>
              </w:rPr>
            </w:pPr>
            <w:r w:rsidRPr="00752727">
              <w:rPr>
                <w:rFonts w:ascii="Palatino Linotype" w:hAnsi="Palatino Linotype" w:cs="Arial"/>
                <w:b/>
                <w:iCs/>
                <w:sz w:val="24"/>
                <w:szCs w:val="24"/>
              </w:rPr>
              <w:t xml:space="preserve">Funding Opportunities Newsletter                                           </w:t>
            </w:r>
          </w:p>
        </w:tc>
        <w:tc>
          <w:tcPr>
            <w:tcW w:w="2564" w:type="dxa"/>
            <w:gridSpan w:val="2"/>
            <w:tcBorders>
              <w:top w:val="single" w:sz="4" w:space="0" w:color="auto"/>
              <w:bottom w:val="single" w:sz="4" w:space="0" w:color="auto"/>
            </w:tcBorders>
            <w:shd w:val="clear" w:color="auto" w:fill="000000"/>
            <w:vAlign w:val="center"/>
          </w:tcPr>
          <w:p w:rsidR="00505FC4" w:rsidRPr="00752727" w:rsidRDefault="00F717EE" w:rsidP="00B63C7F">
            <w:pPr>
              <w:spacing w:after="0" w:line="240" w:lineRule="auto"/>
              <w:rPr>
                <w:rFonts w:ascii="Palatino Linotype" w:hAnsi="Palatino Linotype" w:cs="Arial"/>
                <w:b/>
                <w:iCs/>
                <w:sz w:val="24"/>
                <w:szCs w:val="24"/>
              </w:rPr>
            </w:pPr>
            <w:r>
              <w:rPr>
                <w:rFonts w:ascii="Palatino Linotype" w:hAnsi="Palatino Linotype" w:cs="Arial"/>
                <w:b/>
                <w:iCs/>
                <w:sz w:val="24"/>
                <w:szCs w:val="24"/>
              </w:rPr>
              <w:t>December</w:t>
            </w:r>
            <w:r w:rsidR="008904E2">
              <w:rPr>
                <w:rFonts w:ascii="Palatino Linotype" w:hAnsi="Palatino Linotype" w:cs="Arial"/>
                <w:b/>
                <w:iCs/>
                <w:sz w:val="24"/>
                <w:szCs w:val="24"/>
              </w:rPr>
              <w:t xml:space="preserve"> </w:t>
            </w:r>
            <w:r w:rsidR="003953A9">
              <w:rPr>
                <w:rFonts w:ascii="Palatino Linotype" w:hAnsi="Palatino Linotype" w:cs="Arial"/>
                <w:b/>
                <w:iCs/>
                <w:sz w:val="24"/>
                <w:szCs w:val="24"/>
              </w:rPr>
              <w:t>14</w:t>
            </w:r>
            <w:bookmarkStart w:id="0" w:name="_GoBack"/>
            <w:bookmarkEnd w:id="0"/>
            <w:r w:rsidR="001E56D4">
              <w:rPr>
                <w:rFonts w:ascii="Palatino Linotype" w:hAnsi="Palatino Linotype" w:cs="Arial"/>
                <w:b/>
                <w:iCs/>
                <w:sz w:val="24"/>
                <w:szCs w:val="24"/>
              </w:rPr>
              <w:t xml:space="preserve">, </w:t>
            </w:r>
            <w:r w:rsidR="002A5C87">
              <w:rPr>
                <w:rFonts w:ascii="Palatino Linotype" w:hAnsi="Palatino Linotype" w:cs="Arial"/>
                <w:b/>
                <w:iCs/>
                <w:sz w:val="24"/>
                <w:szCs w:val="24"/>
              </w:rPr>
              <w:t>2018</w:t>
            </w:r>
          </w:p>
        </w:tc>
      </w:tr>
      <w:tr w:rsidR="00505FC4" w:rsidRPr="00752727" w:rsidTr="006A028D">
        <w:trPr>
          <w:trHeight w:val="270"/>
        </w:trPr>
        <w:tc>
          <w:tcPr>
            <w:tcW w:w="10615" w:type="dxa"/>
            <w:gridSpan w:val="12"/>
            <w:tcBorders>
              <w:left w:val="nil"/>
              <w:right w:val="nil"/>
            </w:tcBorders>
            <w:shd w:val="clear" w:color="auto" w:fill="auto"/>
            <w:tcMar>
              <w:top w:w="0" w:type="dxa"/>
              <w:left w:w="108" w:type="dxa"/>
              <w:bottom w:w="0" w:type="dxa"/>
              <w:right w:w="108" w:type="dxa"/>
            </w:tcMar>
            <w:vAlign w:val="center"/>
          </w:tcPr>
          <w:p w:rsidR="00505FC4" w:rsidRPr="00752727" w:rsidRDefault="00505FC4" w:rsidP="000A7794">
            <w:pPr>
              <w:spacing w:after="0" w:line="240" w:lineRule="auto"/>
              <w:jc w:val="center"/>
              <w:rPr>
                <w:b/>
                <w:bCs/>
                <w:color w:val="FF0000"/>
                <w:sz w:val="24"/>
                <w:szCs w:val="24"/>
              </w:rPr>
            </w:pPr>
            <w:r w:rsidRPr="00752727">
              <w:rPr>
                <w:b/>
                <w:bCs/>
                <w:color w:val="FF0000"/>
                <w:sz w:val="24"/>
                <w:szCs w:val="24"/>
              </w:rPr>
              <w:t>Please contact the Office of Sponsored Programs when you begin working on a proposal.</w:t>
            </w:r>
          </w:p>
        </w:tc>
      </w:tr>
      <w:tr w:rsidR="006167EB" w:rsidRPr="00752727" w:rsidTr="00676832">
        <w:trPr>
          <w:trHeight w:val="1592"/>
        </w:trPr>
        <w:tc>
          <w:tcPr>
            <w:tcW w:w="1705" w:type="dxa"/>
            <w:gridSpan w:val="2"/>
            <w:tcBorders>
              <w:left w:val="single" w:sz="4" w:space="0" w:color="auto"/>
              <w:right w:val="nil"/>
            </w:tcBorders>
            <w:shd w:val="clear" w:color="auto" w:fill="auto"/>
            <w:tcMar>
              <w:top w:w="0" w:type="dxa"/>
              <w:left w:w="108" w:type="dxa"/>
              <w:bottom w:w="0" w:type="dxa"/>
              <w:right w:w="108" w:type="dxa"/>
            </w:tcMar>
            <w:vAlign w:val="center"/>
          </w:tcPr>
          <w:p w:rsidR="006167EB" w:rsidRDefault="006167EB" w:rsidP="00676832">
            <w:pPr>
              <w:spacing w:before="240" w:after="240"/>
              <w:jc w:val="center"/>
              <w:rPr>
                <w:rFonts w:ascii="Lucida Bright" w:hAnsi="Lucida Bright"/>
                <w:noProof/>
                <w:color w:val="5B9BD5" w:themeColor="accent1"/>
                <w:sz w:val="28"/>
                <w:szCs w:val="28"/>
              </w:rPr>
            </w:pPr>
            <w:r>
              <w:rPr>
                <w:rFonts w:ascii="Lucida Bright" w:hAnsi="Lucida Bright"/>
                <w:noProof/>
                <w:color w:val="5B9BD5" w:themeColor="accent1"/>
                <w:sz w:val="28"/>
                <w:szCs w:val="28"/>
              </w:rPr>
              <w:drawing>
                <wp:inline distT="0" distB="0" distL="0" distR="0" wp14:anchorId="359D95E1" wp14:editId="798B9CB2">
                  <wp:extent cx="733425" cy="84645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nowflake-09--Arvin61r58[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33425" cy="846455"/>
                          </a:xfrm>
                          <a:prstGeom prst="rect">
                            <a:avLst/>
                          </a:prstGeom>
                        </pic:spPr>
                      </pic:pic>
                    </a:graphicData>
                  </a:graphic>
                </wp:inline>
              </w:drawing>
            </w:r>
          </w:p>
        </w:tc>
        <w:tc>
          <w:tcPr>
            <w:tcW w:w="8910" w:type="dxa"/>
            <w:gridSpan w:val="10"/>
            <w:tcBorders>
              <w:left w:val="nil"/>
              <w:right w:val="single" w:sz="4" w:space="0" w:color="auto"/>
            </w:tcBorders>
            <w:shd w:val="clear" w:color="auto" w:fill="auto"/>
            <w:vAlign w:val="center"/>
          </w:tcPr>
          <w:p w:rsidR="006167EB" w:rsidRPr="0072678C" w:rsidRDefault="006167EB" w:rsidP="00676832">
            <w:pPr>
              <w:spacing w:after="240"/>
              <w:jc w:val="center"/>
              <w:rPr>
                <w:rFonts w:ascii="Lucida Bright" w:hAnsi="Lucida Bright"/>
                <w:color w:val="1F4E79" w:themeColor="accent1" w:themeShade="80"/>
                <w:sz w:val="24"/>
                <w:szCs w:val="28"/>
              </w:rPr>
            </w:pPr>
            <w:r w:rsidRPr="00B62666">
              <w:rPr>
                <w:rFonts w:ascii="Lucida Bright" w:hAnsi="Lucida Bright"/>
                <w:b/>
                <w:color w:val="1F4E79" w:themeColor="accent1" w:themeShade="80"/>
                <w:sz w:val="24"/>
                <w:szCs w:val="28"/>
              </w:rPr>
              <w:t>Happy Holidays!</w:t>
            </w:r>
            <w:r>
              <w:rPr>
                <w:rFonts w:ascii="Lucida Bright" w:hAnsi="Lucida Bright"/>
                <w:b/>
                <w:color w:val="1F4E79" w:themeColor="accent1" w:themeShade="80"/>
                <w:sz w:val="24"/>
                <w:szCs w:val="28"/>
              </w:rPr>
              <w:br/>
            </w:r>
            <w:r w:rsidRPr="00804FD9">
              <w:rPr>
                <w:rFonts w:ascii="Lucida Bright" w:hAnsi="Lucida Bright"/>
                <w:b/>
                <w:color w:val="1F4E79" w:themeColor="accent1" w:themeShade="80"/>
                <w:sz w:val="12"/>
                <w:szCs w:val="12"/>
              </w:rPr>
              <w:br/>
            </w:r>
            <w:r w:rsidRPr="00B62666">
              <w:rPr>
                <w:rFonts w:ascii="Lucida Bright" w:hAnsi="Lucida Bright"/>
                <w:b/>
                <w:color w:val="1F4E79" w:themeColor="accent1" w:themeShade="80"/>
                <w:sz w:val="24"/>
                <w:szCs w:val="28"/>
              </w:rPr>
              <w:t>From all of us at OSP, we would like to thank you for your continued support and wish you a very safe and happy holiday season!</w:t>
            </w:r>
          </w:p>
        </w:tc>
      </w:tr>
      <w:tr w:rsidR="00A15DED" w:rsidRPr="00752727" w:rsidTr="004B0A8C">
        <w:trPr>
          <w:trHeight w:val="890"/>
        </w:trPr>
        <w:tc>
          <w:tcPr>
            <w:tcW w:w="3348" w:type="dxa"/>
            <w:gridSpan w:val="5"/>
            <w:shd w:val="clear" w:color="auto" w:fill="auto"/>
            <w:tcMar>
              <w:top w:w="0" w:type="dxa"/>
              <w:left w:w="108" w:type="dxa"/>
              <w:bottom w:w="0" w:type="dxa"/>
              <w:right w:w="108" w:type="dxa"/>
            </w:tcMar>
          </w:tcPr>
          <w:p w:rsidR="001608A9" w:rsidRPr="005A2E9D" w:rsidRDefault="00F2532A" w:rsidP="005A2E9D">
            <w:pPr>
              <w:tabs>
                <w:tab w:val="left" w:pos="6750"/>
              </w:tabs>
              <w:spacing w:after="240" w:line="240" w:lineRule="auto"/>
              <w:ind w:left="144" w:right="144"/>
              <w:jc w:val="center"/>
              <w:rPr>
                <w:rStyle w:val="Hyperlink"/>
                <w:rFonts w:ascii="Palatino Linotype" w:hAnsi="Palatino Linotype"/>
                <w:b/>
                <w:color w:val="auto"/>
                <w:sz w:val="24"/>
                <w:szCs w:val="24"/>
              </w:rPr>
            </w:pPr>
            <w:r w:rsidRPr="00F2532A">
              <w:rPr>
                <w:rFonts w:ascii="Palatino Linotype" w:hAnsi="Palatino Linotype"/>
                <w:b/>
                <w:sz w:val="16"/>
                <w:szCs w:val="16"/>
                <w:u w:val="single"/>
              </w:rPr>
              <w:br/>
            </w:r>
            <w:r w:rsidR="00A15DED">
              <w:rPr>
                <w:rFonts w:ascii="Palatino Linotype" w:hAnsi="Palatino Linotype"/>
                <w:b/>
                <w:sz w:val="24"/>
                <w:szCs w:val="24"/>
                <w:u w:val="single"/>
              </w:rPr>
              <w:t>Funding Opportunities Index</w:t>
            </w:r>
          </w:p>
          <w:p w:rsidR="001E56D4" w:rsidRPr="00943311" w:rsidRDefault="003953A9" w:rsidP="006F4A66">
            <w:pPr>
              <w:tabs>
                <w:tab w:val="left" w:pos="6750"/>
              </w:tabs>
              <w:spacing w:after="0" w:line="240" w:lineRule="auto"/>
              <w:ind w:left="144" w:right="144"/>
              <w:rPr>
                <w:rStyle w:val="Hyperlink"/>
                <w:rFonts w:ascii="Palatino Linotype" w:hAnsi="Palatino Linotype"/>
                <w:b/>
                <w:i/>
                <w:sz w:val="20"/>
                <w:szCs w:val="20"/>
              </w:rPr>
            </w:pPr>
            <w:hyperlink w:anchor="PAG" w:history="1">
              <w:r w:rsidR="00F103F1" w:rsidRPr="00943311">
                <w:rPr>
                  <w:rStyle w:val="Hyperlink"/>
                  <w:rFonts w:ascii="Palatino Linotype" w:hAnsi="Palatino Linotype"/>
                  <w:b/>
                  <w:sz w:val="20"/>
                  <w:szCs w:val="20"/>
                </w:rPr>
                <w:t xml:space="preserve">-Preservation Assistance Grants for Smaller Institutions </w:t>
              </w:r>
              <w:r w:rsidR="00F103F1" w:rsidRPr="00943311">
                <w:rPr>
                  <w:rStyle w:val="Hyperlink"/>
                  <w:rFonts w:ascii="Palatino Linotype" w:hAnsi="Palatino Linotype"/>
                  <w:b/>
                  <w:i/>
                  <w:sz w:val="20"/>
                  <w:szCs w:val="20"/>
                </w:rPr>
                <w:t>(NEH)</w:t>
              </w:r>
            </w:hyperlink>
          </w:p>
          <w:p w:rsidR="006F4A66" w:rsidRPr="00943311" w:rsidRDefault="006F4A66" w:rsidP="006F4A66">
            <w:pPr>
              <w:tabs>
                <w:tab w:val="left" w:pos="6750"/>
              </w:tabs>
              <w:spacing w:after="0" w:line="240" w:lineRule="auto"/>
              <w:ind w:left="144" w:right="144"/>
              <w:rPr>
                <w:rFonts w:ascii="Palatino Linotype" w:hAnsi="Palatino Linotype"/>
                <w:b/>
                <w:i/>
                <w:sz w:val="20"/>
                <w:szCs w:val="20"/>
                <w:u w:val="single"/>
              </w:rPr>
            </w:pPr>
          </w:p>
          <w:p w:rsidR="00F103F1" w:rsidRPr="00943311" w:rsidRDefault="003953A9" w:rsidP="006F4A66">
            <w:pPr>
              <w:tabs>
                <w:tab w:val="left" w:pos="6750"/>
              </w:tabs>
              <w:spacing w:after="0" w:line="240" w:lineRule="auto"/>
              <w:ind w:left="144" w:right="144"/>
              <w:rPr>
                <w:rStyle w:val="Hyperlink"/>
                <w:rFonts w:ascii="Palatino Linotype" w:hAnsi="Palatino Linotype"/>
                <w:b/>
                <w:i/>
                <w:sz w:val="20"/>
                <w:szCs w:val="20"/>
              </w:rPr>
            </w:pPr>
            <w:hyperlink w:anchor="DEG" w:history="1">
              <w:r w:rsidR="00F103F1" w:rsidRPr="00943311">
                <w:rPr>
                  <w:rStyle w:val="Hyperlink"/>
                  <w:rFonts w:ascii="Palatino Linotype" w:hAnsi="Palatino Linotype"/>
                  <w:b/>
                  <w:sz w:val="20"/>
                  <w:szCs w:val="20"/>
                </w:rPr>
                <w:t xml:space="preserve">-Digital Extension Grants </w:t>
              </w:r>
              <w:r w:rsidR="00F103F1" w:rsidRPr="00943311">
                <w:rPr>
                  <w:rStyle w:val="Hyperlink"/>
                  <w:rFonts w:ascii="Palatino Linotype" w:hAnsi="Palatino Linotype"/>
                  <w:b/>
                  <w:i/>
                  <w:sz w:val="20"/>
                  <w:szCs w:val="20"/>
                </w:rPr>
                <w:t>(ACLS)</w:t>
              </w:r>
            </w:hyperlink>
          </w:p>
          <w:p w:rsidR="006F4A66" w:rsidRPr="00943311" w:rsidRDefault="006F4A66" w:rsidP="006F4A66">
            <w:pPr>
              <w:tabs>
                <w:tab w:val="left" w:pos="6750"/>
              </w:tabs>
              <w:spacing w:after="0" w:line="240" w:lineRule="auto"/>
              <w:ind w:left="144" w:right="144"/>
              <w:rPr>
                <w:rFonts w:ascii="Palatino Linotype" w:hAnsi="Palatino Linotype"/>
                <w:b/>
                <w:i/>
                <w:sz w:val="20"/>
                <w:szCs w:val="20"/>
                <w:u w:val="single"/>
              </w:rPr>
            </w:pPr>
          </w:p>
          <w:p w:rsidR="00F103F1" w:rsidRPr="00943311" w:rsidRDefault="003953A9" w:rsidP="006F4A66">
            <w:pPr>
              <w:tabs>
                <w:tab w:val="left" w:pos="6750"/>
              </w:tabs>
              <w:spacing w:after="0" w:line="240" w:lineRule="auto"/>
              <w:ind w:left="144" w:right="144"/>
              <w:rPr>
                <w:rStyle w:val="Hyperlink"/>
                <w:rFonts w:ascii="Palatino Linotype" w:hAnsi="Palatino Linotype"/>
                <w:b/>
                <w:i/>
                <w:sz w:val="20"/>
                <w:szCs w:val="20"/>
              </w:rPr>
            </w:pPr>
            <w:hyperlink w:anchor="BR" w:history="1">
              <w:r w:rsidR="00F103F1" w:rsidRPr="00943311">
                <w:rPr>
                  <w:rStyle w:val="Hyperlink"/>
                  <w:rFonts w:ascii="Palatino Linotype" w:hAnsi="Palatino Linotype"/>
                  <w:b/>
                  <w:sz w:val="20"/>
                  <w:szCs w:val="20"/>
                </w:rPr>
                <w:t xml:space="preserve">-The Big Read </w:t>
              </w:r>
              <w:r w:rsidR="00F103F1" w:rsidRPr="00943311">
                <w:rPr>
                  <w:rStyle w:val="Hyperlink"/>
                  <w:rFonts w:ascii="Palatino Linotype" w:hAnsi="Palatino Linotype"/>
                  <w:b/>
                  <w:i/>
                  <w:sz w:val="20"/>
                  <w:szCs w:val="20"/>
                </w:rPr>
                <w:t>(NEA)</w:t>
              </w:r>
            </w:hyperlink>
          </w:p>
          <w:p w:rsidR="006F4A66" w:rsidRPr="00943311" w:rsidRDefault="006F4A66" w:rsidP="006F4A66">
            <w:pPr>
              <w:tabs>
                <w:tab w:val="left" w:pos="6750"/>
              </w:tabs>
              <w:spacing w:after="0" w:line="240" w:lineRule="auto"/>
              <w:ind w:left="144" w:right="144"/>
              <w:rPr>
                <w:rFonts w:ascii="Palatino Linotype" w:hAnsi="Palatino Linotype"/>
                <w:b/>
                <w:sz w:val="20"/>
                <w:szCs w:val="20"/>
                <w:u w:val="single"/>
              </w:rPr>
            </w:pPr>
          </w:p>
          <w:p w:rsidR="00356BE7" w:rsidRPr="00943311" w:rsidRDefault="003953A9" w:rsidP="006F4A66">
            <w:pPr>
              <w:tabs>
                <w:tab w:val="left" w:pos="6750"/>
              </w:tabs>
              <w:spacing w:after="0" w:line="240" w:lineRule="auto"/>
              <w:ind w:left="144" w:right="144"/>
              <w:rPr>
                <w:rStyle w:val="Hyperlink"/>
                <w:rFonts w:ascii="Palatino Linotype" w:hAnsi="Palatino Linotype"/>
                <w:b/>
                <w:i/>
                <w:sz w:val="20"/>
                <w:szCs w:val="20"/>
              </w:rPr>
            </w:pPr>
            <w:hyperlink w:anchor="CC" w:history="1">
              <w:r w:rsidR="00F103F1" w:rsidRPr="00943311">
                <w:rPr>
                  <w:rStyle w:val="Hyperlink"/>
                  <w:rFonts w:ascii="Palatino Linotype" w:hAnsi="Palatino Linotype"/>
                  <w:b/>
                  <w:sz w:val="20"/>
                  <w:szCs w:val="20"/>
                </w:rPr>
                <w:t xml:space="preserve">-Cultivating Cultures for Ethical STEM </w:t>
              </w:r>
              <w:r w:rsidR="00F103F1" w:rsidRPr="00943311">
                <w:rPr>
                  <w:rStyle w:val="Hyperlink"/>
                  <w:rFonts w:ascii="Palatino Linotype" w:hAnsi="Palatino Linotype"/>
                  <w:b/>
                  <w:i/>
                  <w:sz w:val="20"/>
                  <w:szCs w:val="20"/>
                </w:rPr>
                <w:t>(NSF)</w:t>
              </w:r>
            </w:hyperlink>
          </w:p>
          <w:p w:rsidR="006F4A66" w:rsidRPr="00943311" w:rsidRDefault="006F4A66" w:rsidP="006F4A66">
            <w:pPr>
              <w:tabs>
                <w:tab w:val="left" w:pos="6750"/>
              </w:tabs>
              <w:spacing w:after="0" w:line="240" w:lineRule="auto"/>
              <w:ind w:left="144" w:right="144"/>
              <w:rPr>
                <w:rStyle w:val="Hyperlink"/>
                <w:rFonts w:ascii="Palatino Linotype" w:hAnsi="Palatino Linotype"/>
                <w:b/>
                <w:i/>
                <w:sz w:val="20"/>
                <w:szCs w:val="20"/>
              </w:rPr>
            </w:pPr>
          </w:p>
          <w:p w:rsidR="00356BE7" w:rsidRPr="00943311" w:rsidRDefault="003953A9" w:rsidP="006F4A66">
            <w:pPr>
              <w:tabs>
                <w:tab w:val="left" w:pos="6750"/>
              </w:tabs>
              <w:spacing w:after="0" w:line="240" w:lineRule="auto"/>
              <w:ind w:left="144" w:right="144"/>
              <w:rPr>
                <w:rStyle w:val="Hyperlink"/>
                <w:rFonts w:ascii="Palatino Linotype" w:hAnsi="Palatino Linotype"/>
                <w:b/>
                <w:i/>
                <w:sz w:val="20"/>
                <w:szCs w:val="20"/>
              </w:rPr>
            </w:pPr>
            <w:hyperlink w:anchor="SCHC" w:history="1">
              <w:r w:rsidR="00356BE7" w:rsidRPr="00943311">
                <w:rPr>
                  <w:rStyle w:val="Hyperlink"/>
                  <w:rFonts w:ascii="Palatino Linotype" w:hAnsi="Palatino Linotype"/>
                  <w:b/>
                  <w:sz w:val="20"/>
                  <w:szCs w:val="20"/>
                </w:rPr>
                <w:t xml:space="preserve">-Sustaining Cultural Heritage Collections </w:t>
              </w:r>
              <w:r w:rsidR="00356BE7" w:rsidRPr="00943311">
                <w:rPr>
                  <w:rStyle w:val="Hyperlink"/>
                  <w:rFonts w:ascii="Palatino Linotype" w:hAnsi="Palatino Linotype"/>
                  <w:b/>
                  <w:i/>
                  <w:sz w:val="20"/>
                  <w:szCs w:val="20"/>
                </w:rPr>
                <w:t>(NEH)</w:t>
              </w:r>
            </w:hyperlink>
          </w:p>
          <w:p w:rsidR="006F4A66" w:rsidRPr="00943311" w:rsidRDefault="006F4A66" w:rsidP="006F4A66">
            <w:pPr>
              <w:tabs>
                <w:tab w:val="left" w:pos="6750"/>
              </w:tabs>
              <w:spacing w:after="0" w:line="240" w:lineRule="auto"/>
              <w:ind w:left="144" w:right="144"/>
              <w:rPr>
                <w:rFonts w:ascii="Palatino Linotype" w:hAnsi="Palatino Linotype"/>
                <w:b/>
                <w:i/>
                <w:color w:val="0563C1"/>
                <w:sz w:val="20"/>
                <w:szCs w:val="20"/>
                <w:u w:val="single"/>
              </w:rPr>
            </w:pPr>
          </w:p>
          <w:p w:rsidR="00F103F1" w:rsidRPr="00943311" w:rsidRDefault="003953A9" w:rsidP="006F4A66">
            <w:pPr>
              <w:tabs>
                <w:tab w:val="left" w:pos="6750"/>
              </w:tabs>
              <w:spacing w:after="0" w:line="240" w:lineRule="auto"/>
              <w:ind w:left="144" w:right="144"/>
              <w:rPr>
                <w:rStyle w:val="Hyperlink"/>
                <w:rFonts w:ascii="Palatino Linotype" w:hAnsi="Palatino Linotype"/>
                <w:b/>
                <w:i/>
                <w:sz w:val="20"/>
                <w:szCs w:val="20"/>
              </w:rPr>
            </w:pPr>
            <w:hyperlink w:anchor="PAC" w:history="1">
              <w:r w:rsidR="00F103F1" w:rsidRPr="00943311">
                <w:rPr>
                  <w:rStyle w:val="Hyperlink"/>
                  <w:rFonts w:ascii="Palatino Linotype" w:hAnsi="Palatino Linotype"/>
                  <w:b/>
                  <w:sz w:val="20"/>
                  <w:szCs w:val="20"/>
                </w:rPr>
                <w:t xml:space="preserve">-Perception, Action </w:t>
              </w:r>
              <w:r w:rsidR="00F103F1" w:rsidRPr="00943311">
                <w:rPr>
                  <w:rStyle w:val="Hyperlink"/>
                  <w:rFonts w:ascii="Palatino Linotype" w:hAnsi="Palatino Linotype"/>
                  <w:b/>
                  <w:sz w:val="20"/>
                  <w:szCs w:val="20"/>
                </w:rPr>
                <w:br/>
                <w:t xml:space="preserve">&amp; Cognition </w:t>
              </w:r>
              <w:r w:rsidR="00F103F1" w:rsidRPr="00943311">
                <w:rPr>
                  <w:rStyle w:val="Hyperlink"/>
                  <w:rFonts w:ascii="Palatino Linotype" w:hAnsi="Palatino Linotype"/>
                  <w:b/>
                  <w:i/>
                  <w:sz w:val="20"/>
                  <w:szCs w:val="20"/>
                </w:rPr>
                <w:t>(NSF)</w:t>
              </w:r>
            </w:hyperlink>
          </w:p>
          <w:p w:rsidR="006F4A66" w:rsidRPr="00943311" w:rsidRDefault="006F4A66" w:rsidP="006F4A66">
            <w:pPr>
              <w:tabs>
                <w:tab w:val="left" w:pos="6750"/>
              </w:tabs>
              <w:spacing w:after="0" w:line="240" w:lineRule="auto"/>
              <w:ind w:left="144" w:right="144"/>
              <w:rPr>
                <w:rStyle w:val="Hyperlink"/>
                <w:rFonts w:ascii="Palatino Linotype" w:hAnsi="Palatino Linotype"/>
                <w:b/>
                <w:i/>
                <w:sz w:val="20"/>
                <w:szCs w:val="20"/>
              </w:rPr>
            </w:pPr>
          </w:p>
          <w:p w:rsidR="001E030E" w:rsidRPr="00943311" w:rsidRDefault="003953A9" w:rsidP="006F4A66">
            <w:pPr>
              <w:tabs>
                <w:tab w:val="left" w:pos="6750"/>
              </w:tabs>
              <w:spacing w:after="0" w:line="240" w:lineRule="auto"/>
              <w:ind w:left="144" w:right="144"/>
              <w:rPr>
                <w:rStyle w:val="Hyperlink"/>
                <w:rFonts w:ascii="Palatino Linotype" w:hAnsi="Palatino Linotype"/>
                <w:b/>
                <w:i/>
                <w:sz w:val="20"/>
                <w:szCs w:val="20"/>
              </w:rPr>
            </w:pPr>
            <w:hyperlink w:anchor="IG" w:history="1">
              <w:r w:rsidR="001E030E" w:rsidRPr="00943311">
                <w:rPr>
                  <w:rStyle w:val="Hyperlink"/>
                  <w:rFonts w:ascii="Palatino Linotype" w:hAnsi="Palatino Linotype"/>
                  <w:b/>
                  <w:sz w:val="20"/>
                  <w:szCs w:val="20"/>
                </w:rPr>
                <w:t xml:space="preserve">-Institutional Grants </w:t>
              </w:r>
              <w:r w:rsidR="004B0A8C" w:rsidRPr="00943311">
                <w:rPr>
                  <w:rStyle w:val="Hyperlink"/>
                  <w:rFonts w:ascii="Palatino Linotype" w:hAnsi="Palatino Linotype"/>
                  <w:b/>
                  <w:sz w:val="20"/>
                  <w:szCs w:val="20"/>
                </w:rPr>
                <w:t>(</w:t>
              </w:r>
              <w:r w:rsidR="001E030E" w:rsidRPr="00943311">
                <w:rPr>
                  <w:rStyle w:val="Hyperlink"/>
                  <w:rFonts w:ascii="Palatino Linotype" w:hAnsi="Palatino Linotype"/>
                  <w:b/>
                  <w:i/>
                  <w:sz w:val="20"/>
                  <w:szCs w:val="20"/>
                </w:rPr>
                <w:t>Tinker)</w:t>
              </w:r>
            </w:hyperlink>
          </w:p>
          <w:p w:rsidR="006F4A66" w:rsidRPr="00943311" w:rsidRDefault="006F4A66" w:rsidP="006F4A66">
            <w:pPr>
              <w:tabs>
                <w:tab w:val="left" w:pos="6750"/>
              </w:tabs>
              <w:spacing w:after="0" w:line="240" w:lineRule="auto"/>
              <w:ind w:left="144" w:right="144"/>
              <w:rPr>
                <w:rFonts w:ascii="Palatino Linotype" w:hAnsi="Palatino Linotype"/>
                <w:b/>
                <w:i/>
                <w:sz w:val="20"/>
                <w:szCs w:val="20"/>
                <w:u w:val="single"/>
              </w:rPr>
            </w:pPr>
          </w:p>
          <w:p w:rsidR="00F103F1" w:rsidRPr="00943311" w:rsidRDefault="003953A9" w:rsidP="006F4A66">
            <w:pPr>
              <w:tabs>
                <w:tab w:val="left" w:pos="6750"/>
              </w:tabs>
              <w:spacing w:after="0" w:line="240" w:lineRule="auto"/>
              <w:ind w:left="144" w:right="144"/>
              <w:rPr>
                <w:rStyle w:val="Hyperlink"/>
                <w:rFonts w:ascii="Palatino Linotype" w:hAnsi="Palatino Linotype"/>
                <w:b/>
                <w:i/>
                <w:sz w:val="20"/>
                <w:szCs w:val="20"/>
              </w:rPr>
            </w:pPr>
            <w:hyperlink w:anchor="STS" w:history="1">
              <w:r w:rsidR="00F103F1" w:rsidRPr="00943311">
                <w:rPr>
                  <w:rStyle w:val="Hyperlink"/>
                  <w:rFonts w:ascii="Palatino Linotype" w:hAnsi="Palatino Linotype"/>
                  <w:b/>
                  <w:sz w:val="20"/>
                  <w:szCs w:val="20"/>
                </w:rPr>
                <w:t xml:space="preserve">-Science, Technology, and Society </w:t>
              </w:r>
              <w:r w:rsidR="00F103F1" w:rsidRPr="00943311">
                <w:rPr>
                  <w:rStyle w:val="Hyperlink"/>
                  <w:rFonts w:ascii="Palatino Linotype" w:hAnsi="Palatino Linotype"/>
                  <w:b/>
                  <w:i/>
                  <w:sz w:val="20"/>
                  <w:szCs w:val="20"/>
                </w:rPr>
                <w:t>(NSF)</w:t>
              </w:r>
            </w:hyperlink>
          </w:p>
          <w:p w:rsidR="006F4A66" w:rsidRPr="00943311" w:rsidRDefault="006F4A66" w:rsidP="006F4A66">
            <w:pPr>
              <w:tabs>
                <w:tab w:val="left" w:pos="6750"/>
              </w:tabs>
              <w:spacing w:after="0" w:line="240" w:lineRule="auto"/>
              <w:ind w:left="144" w:right="144"/>
              <w:rPr>
                <w:rFonts w:ascii="Palatino Linotype" w:hAnsi="Palatino Linotype"/>
                <w:b/>
                <w:i/>
                <w:sz w:val="20"/>
                <w:szCs w:val="20"/>
                <w:u w:val="single"/>
              </w:rPr>
            </w:pPr>
          </w:p>
          <w:p w:rsidR="00F103F1" w:rsidRPr="00943311" w:rsidRDefault="003953A9" w:rsidP="006F4A66">
            <w:pPr>
              <w:tabs>
                <w:tab w:val="left" w:pos="6750"/>
              </w:tabs>
              <w:spacing w:after="0" w:line="240" w:lineRule="auto"/>
              <w:ind w:left="144" w:right="144"/>
              <w:rPr>
                <w:rStyle w:val="Hyperlink"/>
                <w:rFonts w:ascii="Palatino Linotype" w:hAnsi="Palatino Linotype"/>
                <w:b/>
                <w:i/>
                <w:sz w:val="20"/>
                <w:szCs w:val="20"/>
              </w:rPr>
            </w:pPr>
            <w:hyperlink w:anchor="SoO" w:history="1">
              <w:r w:rsidR="00F103F1" w:rsidRPr="00943311">
                <w:rPr>
                  <w:rStyle w:val="Hyperlink"/>
                  <w:rFonts w:ascii="Palatino Linotype" w:hAnsi="Palatino Linotype"/>
                  <w:b/>
                  <w:sz w:val="20"/>
                  <w:szCs w:val="20"/>
                </w:rPr>
                <w:t xml:space="preserve">-Science of Organizations </w:t>
              </w:r>
              <w:r w:rsidR="00F103F1" w:rsidRPr="00943311">
                <w:rPr>
                  <w:rStyle w:val="Hyperlink"/>
                  <w:rFonts w:ascii="Palatino Linotype" w:hAnsi="Palatino Linotype"/>
                  <w:b/>
                  <w:i/>
                  <w:sz w:val="20"/>
                  <w:szCs w:val="20"/>
                </w:rPr>
                <w:t>(NSF)</w:t>
              </w:r>
            </w:hyperlink>
          </w:p>
          <w:p w:rsidR="004F7EB5" w:rsidRPr="00943311" w:rsidRDefault="004F7EB5" w:rsidP="006F4A66">
            <w:pPr>
              <w:tabs>
                <w:tab w:val="left" w:pos="6750"/>
              </w:tabs>
              <w:spacing w:after="0" w:line="240" w:lineRule="auto"/>
              <w:ind w:left="144" w:right="144"/>
              <w:rPr>
                <w:rFonts w:ascii="Palatino Linotype" w:hAnsi="Palatino Linotype"/>
                <w:b/>
                <w:i/>
                <w:sz w:val="20"/>
                <w:szCs w:val="20"/>
                <w:u w:val="single"/>
              </w:rPr>
            </w:pPr>
          </w:p>
          <w:p w:rsidR="00F103F1" w:rsidRPr="00943311" w:rsidRDefault="003953A9" w:rsidP="006F4A66">
            <w:pPr>
              <w:tabs>
                <w:tab w:val="left" w:pos="6750"/>
              </w:tabs>
              <w:spacing w:after="0" w:line="240" w:lineRule="auto"/>
              <w:ind w:left="144" w:right="144"/>
              <w:rPr>
                <w:rFonts w:ascii="Palatino Linotype" w:hAnsi="Palatino Linotype"/>
                <w:b/>
                <w:sz w:val="20"/>
                <w:szCs w:val="20"/>
                <w:u w:val="single"/>
              </w:rPr>
            </w:pPr>
            <w:hyperlink w:anchor="CWF" w:history="1">
              <w:r w:rsidR="00F103F1" w:rsidRPr="00943311">
                <w:rPr>
                  <w:rStyle w:val="Hyperlink"/>
                  <w:rFonts w:ascii="Palatino Linotype" w:hAnsi="Palatino Linotype"/>
                  <w:b/>
                  <w:sz w:val="20"/>
                  <w:szCs w:val="20"/>
                </w:rPr>
                <w:t xml:space="preserve">-Creative Writing Fellowships </w:t>
              </w:r>
              <w:r w:rsidR="00F103F1" w:rsidRPr="00943311">
                <w:rPr>
                  <w:rStyle w:val="Hyperlink"/>
                  <w:rFonts w:ascii="Palatino Linotype" w:hAnsi="Palatino Linotype"/>
                  <w:b/>
                  <w:i/>
                  <w:sz w:val="20"/>
                  <w:szCs w:val="20"/>
                </w:rPr>
                <w:t>(NEA)</w:t>
              </w:r>
            </w:hyperlink>
            <w:r w:rsidR="00F103F1" w:rsidRPr="00943311">
              <w:rPr>
                <w:rFonts w:ascii="Palatino Linotype" w:hAnsi="Palatino Linotype"/>
                <w:b/>
                <w:sz w:val="20"/>
                <w:szCs w:val="20"/>
                <w:u w:val="single"/>
              </w:rPr>
              <w:t xml:space="preserve"> </w:t>
            </w:r>
          </w:p>
          <w:p w:rsidR="006F4A66" w:rsidRPr="00943311" w:rsidRDefault="006F4A66" w:rsidP="006F4A66">
            <w:pPr>
              <w:tabs>
                <w:tab w:val="left" w:pos="6750"/>
              </w:tabs>
              <w:spacing w:after="0" w:line="240" w:lineRule="auto"/>
              <w:ind w:left="144" w:right="144"/>
              <w:rPr>
                <w:rFonts w:ascii="Palatino Linotype" w:hAnsi="Palatino Linotype"/>
                <w:b/>
                <w:sz w:val="20"/>
                <w:szCs w:val="20"/>
                <w:u w:val="single"/>
              </w:rPr>
            </w:pPr>
          </w:p>
          <w:p w:rsidR="002F7477" w:rsidRPr="00943311" w:rsidRDefault="003953A9" w:rsidP="006F4A66">
            <w:pPr>
              <w:tabs>
                <w:tab w:val="left" w:pos="6750"/>
              </w:tabs>
              <w:spacing w:after="0" w:line="240" w:lineRule="auto"/>
              <w:ind w:left="144" w:right="144"/>
              <w:rPr>
                <w:rFonts w:ascii="Palatino Linotype" w:hAnsi="Palatino Linotype"/>
                <w:b/>
                <w:sz w:val="20"/>
                <w:szCs w:val="20"/>
                <w:u w:val="single"/>
              </w:rPr>
            </w:pPr>
            <w:hyperlink w:anchor="PRiHS" w:history="1">
              <w:r w:rsidR="002F7477" w:rsidRPr="00943311">
                <w:rPr>
                  <w:rStyle w:val="Hyperlink"/>
                  <w:rFonts w:ascii="Palatino Linotype" w:hAnsi="Palatino Linotype"/>
                  <w:b/>
                  <w:sz w:val="20"/>
                  <w:szCs w:val="20"/>
                </w:rPr>
                <w:t xml:space="preserve">-Pragmatic Research in Healthcare Settings to Improve </w:t>
              </w:r>
              <w:r w:rsidR="002F7477" w:rsidRPr="00943311">
                <w:rPr>
                  <w:rStyle w:val="Hyperlink"/>
                  <w:rFonts w:ascii="Palatino Linotype" w:hAnsi="Palatino Linotype"/>
                  <w:b/>
                  <w:sz w:val="20"/>
                  <w:szCs w:val="20"/>
                </w:rPr>
                <w:lastRenderedPageBreak/>
                <w:t xml:space="preserve">Diabetes and Obesity Prevention and Care </w:t>
              </w:r>
              <w:r w:rsidR="002F7477" w:rsidRPr="00943311">
                <w:rPr>
                  <w:rStyle w:val="Hyperlink"/>
                  <w:rFonts w:ascii="Palatino Linotype" w:hAnsi="Palatino Linotype"/>
                  <w:b/>
                  <w:i/>
                  <w:sz w:val="20"/>
                  <w:szCs w:val="20"/>
                </w:rPr>
                <w:t>(NIH)</w:t>
              </w:r>
            </w:hyperlink>
          </w:p>
          <w:p w:rsidR="002F7477" w:rsidRPr="00943311" w:rsidRDefault="002F7477" w:rsidP="006F4A66">
            <w:pPr>
              <w:tabs>
                <w:tab w:val="left" w:pos="6750"/>
              </w:tabs>
              <w:spacing w:after="0" w:line="240" w:lineRule="auto"/>
              <w:ind w:left="144" w:right="144"/>
              <w:rPr>
                <w:rFonts w:ascii="Palatino Linotype" w:hAnsi="Palatino Linotype"/>
                <w:b/>
                <w:sz w:val="20"/>
                <w:szCs w:val="20"/>
                <w:u w:val="single"/>
              </w:rPr>
            </w:pPr>
          </w:p>
          <w:p w:rsidR="007C76E0" w:rsidRDefault="003953A9" w:rsidP="006F4A66">
            <w:pPr>
              <w:tabs>
                <w:tab w:val="left" w:pos="6750"/>
              </w:tabs>
              <w:spacing w:after="0" w:line="240" w:lineRule="auto"/>
              <w:ind w:left="144" w:right="144"/>
              <w:rPr>
                <w:rStyle w:val="Hyperlink"/>
                <w:rFonts w:ascii="Palatino Linotype" w:hAnsi="Palatino Linotype"/>
                <w:b/>
                <w:i/>
                <w:sz w:val="20"/>
                <w:szCs w:val="20"/>
              </w:rPr>
            </w:pPr>
            <w:hyperlink w:anchor="ENE" w:history="1">
              <w:r w:rsidR="00FC64AE" w:rsidRPr="00943311">
                <w:rPr>
                  <w:rStyle w:val="Hyperlink"/>
                  <w:rFonts w:ascii="Palatino Linotype" w:hAnsi="Palatino Linotype"/>
                  <w:b/>
                  <w:sz w:val="20"/>
                  <w:szCs w:val="20"/>
                </w:rPr>
                <w:t xml:space="preserve">-Evaluating Natural Experiments in Health Care Related to Diabetes </w:t>
              </w:r>
              <w:r w:rsidR="00FC64AE" w:rsidRPr="00943311">
                <w:rPr>
                  <w:rStyle w:val="Hyperlink"/>
                  <w:rFonts w:ascii="Palatino Linotype" w:hAnsi="Palatino Linotype"/>
                  <w:b/>
                  <w:i/>
                  <w:sz w:val="20"/>
                  <w:szCs w:val="20"/>
                </w:rPr>
                <w:t>(NIH)</w:t>
              </w:r>
            </w:hyperlink>
          </w:p>
          <w:p w:rsidR="006167EB" w:rsidRPr="004B0A8C" w:rsidRDefault="006167EB" w:rsidP="006F4A66">
            <w:pPr>
              <w:tabs>
                <w:tab w:val="left" w:pos="6750"/>
              </w:tabs>
              <w:spacing w:after="0" w:line="240" w:lineRule="auto"/>
              <w:ind w:left="144" w:right="144"/>
              <w:rPr>
                <w:rFonts w:ascii="Palatino Linotype" w:hAnsi="Palatino Linotype"/>
                <w:b/>
                <w:sz w:val="16"/>
                <w:szCs w:val="16"/>
                <w:u w:val="single"/>
              </w:rPr>
            </w:pPr>
          </w:p>
          <w:p w:rsidR="00A15DED" w:rsidRPr="001E42FF" w:rsidRDefault="003953A9" w:rsidP="001E42FF">
            <w:pPr>
              <w:spacing w:line="360" w:lineRule="auto"/>
              <w:jc w:val="center"/>
              <w:rPr>
                <w:sz w:val="24"/>
                <w:szCs w:val="24"/>
              </w:rPr>
            </w:pPr>
            <w:hyperlink w:anchor="AP" w:history="1">
              <w:r w:rsidR="00B118AA">
                <w:rPr>
                  <w:rStyle w:val="Hyperlink"/>
                  <w:rFonts w:ascii="Palatino Linotype" w:hAnsi="Palatino Linotype"/>
                  <w:b/>
                  <w:sz w:val="24"/>
                  <w:szCs w:val="24"/>
                </w:rPr>
                <w:t xml:space="preserve">***Awards and </w:t>
              </w:r>
              <w:r w:rsidR="00A15DED" w:rsidRPr="00DF4926">
                <w:rPr>
                  <w:rStyle w:val="Hyperlink"/>
                  <w:rFonts w:ascii="Palatino Linotype" w:hAnsi="Palatino Linotype"/>
                  <w:b/>
                  <w:sz w:val="24"/>
                  <w:szCs w:val="24"/>
                </w:rPr>
                <w:t>Proposals***</w:t>
              </w:r>
            </w:hyperlink>
          </w:p>
        </w:tc>
        <w:tc>
          <w:tcPr>
            <w:tcW w:w="7267" w:type="dxa"/>
            <w:gridSpan w:val="7"/>
            <w:shd w:val="clear" w:color="auto" w:fill="auto"/>
          </w:tcPr>
          <w:p w:rsidR="00C04DC4" w:rsidRPr="00C04DC4" w:rsidRDefault="00C04DC4" w:rsidP="00C04DC4">
            <w:pPr>
              <w:spacing w:after="0" w:line="240" w:lineRule="auto"/>
              <w:ind w:left="144"/>
              <w:jc w:val="center"/>
              <w:rPr>
                <w:rFonts w:ascii="Palatino Linotype" w:hAnsi="Palatino Linotype"/>
                <w:b/>
                <w:color w:val="000000" w:themeColor="text1"/>
              </w:rPr>
            </w:pPr>
          </w:p>
          <w:p w:rsidR="006167EB" w:rsidRPr="006167EB" w:rsidRDefault="004F7EB5" w:rsidP="006167EB">
            <w:pPr>
              <w:ind w:left="151"/>
              <w:jc w:val="center"/>
              <w:rPr>
                <w:rFonts w:ascii="Palatino Linotype" w:hAnsi="Palatino Linotype"/>
                <w:b/>
                <w:color w:val="385623" w:themeColor="accent6" w:themeShade="80"/>
                <w:sz w:val="28"/>
                <w:szCs w:val="24"/>
              </w:rPr>
            </w:pPr>
            <w:r>
              <w:rPr>
                <w:rFonts w:ascii="Palatino Linotype" w:hAnsi="Palatino Linotype"/>
                <w:b/>
                <w:color w:val="385623" w:themeColor="accent6" w:themeShade="80"/>
                <w:sz w:val="28"/>
                <w:szCs w:val="24"/>
              </w:rPr>
              <w:t xml:space="preserve">Looking Ahead to </w:t>
            </w:r>
            <w:r w:rsidR="006167EB" w:rsidRPr="006167EB">
              <w:rPr>
                <w:rFonts w:ascii="Palatino Linotype" w:hAnsi="Palatino Linotype"/>
                <w:b/>
                <w:color w:val="385623" w:themeColor="accent6" w:themeShade="80"/>
                <w:sz w:val="28"/>
                <w:szCs w:val="24"/>
              </w:rPr>
              <w:t>Spring 2019</w:t>
            </w:r>
          </w:p>
          <w:p w:rsidR="00943311" w:rsidRDefault="006167EB" w:rsidP="004B0A8C">
            <w:pPr>
              <w:spacing w:after="0"/>
              <w:ind w:left="144"/>
              <w:rPr>
                <w:rFonts w:ascii="Palatino Linotype" w:hAnsi="Palatino Linotype"/>
                <w:color w:val="000000" w:themeColor="text1"/>
              </w:rPr>
            </w:pPr>
            <w:r w:rsidRPr="004B0A8C">
              <w:rPr>
                <w:rFonts w:ascii="Palatino Linotype" w:hAnsi="Palatino Linotype"/>
                <w:color w:val="000000" w:themeColor="text1"/>
              </w:rPr>
              <w:t>OSP is working on additional updates to our Funding Opportunity Announcements. In Spring 2019, we will release our new web-based funding opportunities newsletter.  We will continue notifying the WP community of newly posted information via email messages.  Within the email, we will include links to the newly developed blog site</w:t>
            </w:r>
            <w:r w:rsidR="004B0A8C" w:rsidRPr="004B0A8C">
              <w:rPr>
                <w:rFonts w:ascii="Palatino Linotype" w:hAnsi="Palatino Linotype"/>
                <w:color w:val="000000" w:themeColor="text1"/>
              </w:rPr>
              <w:t xml:space="preserve">, where the </w:t>
            </w:r>
            <w:r w:rsidR="00943311">
              <w:rPr>
                <w:rFonts w:ascii="Palatino Linotype" w:hAnsi="Palatino Linotype"/>
                <w:color w:val="000000" w:themeColor="text1"/>
              </w:rPr>
              <w:t xml:space="preserve">announcements, updates, articles, and other insights </w:t>
            </w:r>
            <w:r w:rsidR="004B0A8C" w:rsidRPr="004B0A8C">
              <w:rPr>
                <w:rFonts w:ascii="Palatino Linotype" w:hAnsi="Palatino Linotype"/>
                <w:color w:val="000000" w:themeColor="text1"/>
              </w:rPr>
              <w:t>will be housed.</w:t>
            </w:r>
          </w:p>
          <w:p w:rsidR="00943311" w:rsidRDefault="00943311" w:rsidP="004B0A8C">
            <w:pPr>
              <w:spacing w:after="0"/>
              <w:ind w:left="144"/>
              <w:rPr>
                <w:rFonts w:ascii="Palatino Linotype" w:hAnsi="Palatino Linotype"/>
                <w:color w:val="000000" w:themeColor="text1"/>
              </w:rPr>
            </w:pPr>
          </w:p>
          <w:p w:rsidR="007A4F2B" w:rsidRDefault="004B0A8C" w:rsidP="004B0A8C">
            <w:pPr>
              <w:spacing w:after="0"/>
              <w:ind w:left="144"/>
              <w:rPr>
                <w:rFonts w:ascii="Palatino Linotype" w:hAnsi="Palatino Linotype"/>
                <w:color w:val="000000" w:themeColor="text1"/>
              </w:rPr>
            </w:pPr>
            <w:r w:rsidRPr="004B0A8C">
              <w:rPr>
                <w:rFonts w:ascii="Palatino Linotype" w:hAnsi="Palatino Linotype"/>
                <w:color w:val="000000" w:themeColor="text1"/>
              </w:rPr>
              <w:t xml:space="preserve">In addition to </w:t>
            </w:r>
            <w:r w:rsidR="00943311">
              <w:rPr>
                <w:rFonts w:ascii="Palatino Linotype" w:hAnsi="Palatino Linotype"/>
                <w:color w:val="000000" w:themeColor="text1"/>
              </w:rPr>
              <w:t xml:space="preserve">disseminating </w:t>
            </w:r>
            <w:r w:rsidRPr="004B0A8C">
              <w:rPr>
                <w:rFonts w:ascii="Palatino Linotype" w:hAnsi="Palatino Linotype"/>
                <w:color w:val="000000" w:themeColor="text1"/>
              </w:rPr>
              <w:t xml:space="preserve">current information, this format will allow us to retain previously distributed information in an easily accessible archive.  </w:t>
            </w:r>
            <w:r w:rsidR="006167EB" w:rsidRPr="004B0A8C">
              <w:rPr>
                <w:rFonts w:ascii="Palatino Linotype" w:hAnsi="Palatino Linotype"/>
                <w:color w:val="000000" w:themeColor="text1"/>
              </w:rPr>
              <w:t xml:space="preserve">We hope this modernization </w:t>
            </w:r>
            <w:r w:rsidR="007A4F2B" w:rsidRPr="004B0A8C">
              <w:rPr>
                <w:rFonts w:ascii="Palatino Linotype" w:hAnsi="Palatino Linotype"/>
                <w:color w:val="000000" w:themeColor="text1"/>
              </w:rPr>
              <w:t xml:space="preserve">helps with better </w:t>
            </w:r>
            <w:r w:rsidR="006167EB" w:rsidRPr="004B0A8C">
              <w:rPr>
                <w:rFonts w:ascii="Palatino Linotype" w:hAnsi="Palatino Linotype"/>
                <w:color w:val="000000" w:themeColor="text1"/>
              </w:rPr>
              <w:t xml:space="preserve">access </w:t>
            </w:r>
            <w:r w:rsidR="007A4F2B" w:rsidRPr="004B0A8C">
              <w:rPr>
                <w:rFonts w:ascii="Palatino Linotype" w:hAnsi="Palatino Linotype"/>
                <w:color w:val="000000" w:themeColor="text1"/>
              </w:rPr>
              <w:t xml:space="preserve">to </w:t>
            </w:r>
            <w:r w:rsidR="006167EB" w:rsidRPr="004B0A8C">
              <w:rPr>
                <w:rFonts w:ascii="Palatino Linotype" w:hAnsi="Palatino Linotype"/>
                <w:color w:val="000000" w:themeColor="text1"/>
              </w:rPr>
              <w:t xml:space="preserve">our information and </w:t>
            </w:r>
            <w:r w:rsidR="007A4F2B" w:rsidRPr="004B0A8C">
              <w:rPr>
                <w:rFonts w:ascii="Palatino Linotype" w:hAnsi="Palatino Linotype"/>
                <w:color w:val="000000" w:themeColor="text1"/>
              </w:rPr>
              <w:t xml:space="preserve">allows us to release certain information in a </w:t>
            </w:r>
            <w:r w:rsidR="00F2532A" w:rsidRPr="004B0A8C">
              <w:rPr>
                <w:rFonts w:ascii="Palatino Linotype" w:hAnsi="Palatino Linotype"/>
                <w:color w:val="000000" w:themeColor="text1"/>
              </w:rPr>
              <w:t>timelier</w:t>
            </w:r>
            <w:r w:rsidR="007A4F2B" w:rsidRPr="004B0A8C">
              <w:rPr>
                <w:rFonts w:ascii="Palatino Linotype" w:hAnsi="Palatino Linotype"/>
                <w:color w:val="000000" w:themeColor="text1"/>
              </w:rPr>
              <w:t xml:space="preserve"> manner.</w:t>
            </w:r>
          </w:p>
          <w:p w:rsidR="00F2532A" w:rsidRPr="004B0A8C" w:rsidRDefault="00F2532A" w:rsidP="004B0A8C">
            <w:pPr>
              <w:spacing w:after="0"/>
              <w:ind w:left="144"/>
              <w:rPr>
                <w:rFonts w:ascii="Palatino Linotype" w:hAnsi="Palatino Linotype"/>
                <w:color w:val="000000" w:themeColor="text1"/>
              </w:rPr>
            </w:pPr>
          </w:p>
          <w:p w:rsidR="007A4F2B" w:rsidRPr="004B0A8C" w:rsidRDefault="007A4F2B" w:rsidP="004B0A8C">
            <w:pPr>
              <w:spacing w:after="0"/>
              <w:ind w:left="144"/>
              <w:rPr>
                <w:rFonts w:ascii="Palatino Linotype" w:hAnsi="Palatino Linotype"/>
                <w:color w:val="000000" w:themeColor="text1"/>
              </w:rPr>
            </w:pPr>
            <w:r w:rsidRPr="004B0A8C">
              <w:rPr>
                <w:rFonts w:ascii="Palatino Linotype" w:hAnsi="Palatino Linotype"/>
                <w:color w:val="000000" w:themeColor="text1"/>
              </w:rPr>
              <w:t>We will continue update our workshop and webinar offerings</w:t>
            </w:r>
            <w:r w:rsidR="004B0A8C" w:rsidRPr="004B0A8C">
              <w:rPr>
                <w:rFonts w:ascii="Palatino Linotype" w:hAnsi="Palatino Linotype"/>
                <w:color w:val="000000" w:themeColor="text1"/>
              </w:rPr>
              <w:t xml:space="preserve"> in Spring 2019</w:t>
            </w:r>
            <w:r w:rsidRPr="004B0A8C">
              <w:rPr>
                <w:rFonts w:ascii="Palatino Linotype" w:hAnsi="Palatino Linotype"/>
                <w:color w:val="000000" w:themeColor="text1"/>
              </w:rPr>
              <w:t>; updated schedules will be posted on both the OSP website and the new blog site</w:t>
            </w:r>
            <w:r w:rsidR="004B0A8C" w:rsidRPr="004B0A8C">
              <w:rPr>
                <w:rFonts w:ascii="Palatino Linotype" w:hAnsi="Palatino Linotype"/>
                <w:color w:val="000000" w:themeColor="text1"/>
              </w:rPr>
              <w:t xml:space="preserve"> at the beginning of the Spring semester</w:t>
            </w:r>
            <w:r w:rsidRPr="004B0A8C">
              <w:rPr>
                <w:rFonts w:ascii="Palatino Linotype" w:hAnsi="Palatino Linotype"/>
                <w:color w:val="000000" w:themeColor="text1"/>
              </w:rPr>
              <w:t>.</w:t>
            </w:r>
            <w:r w:rsidR="00F2532A">
              <w:rPr>
                <w:rFonts w:ascii="Palatino Linotype" w:hAnsi="Palatino Linotype"/>
                <w:color w:val="000000" w:themeColor="text1"/>
              </w:rPr>
              <w:br/>
            </w:r>
          </w:p>
          <w:p w:rsidR="007A4F2B" w:rsidRPr="004B0A8C" w:rsidRDefault="007A4F2B" w:rsidP="004B0A8C">
            <w:pPr>
              <w:spacing w:after="0"/>
              <w:ind w:left="144"/>
              <w:rPr>
                <w:rFonts w:ascii="Palatino Linotype" w:hAnsi="Palatino Linotype"/>
                <w:color w:val="000000" w:themeColor="text1"/>
              </w:rPr>
            </w:pPr>
            <w:r w:rsidRPr="004B0A8C">
              <w:rPr>
                <w:rFonts w:ascii="Palatino Linotype" w:hAnsi="Palatino Linotype"/>
                <w:color w:val="000000" w:themeColor="text1"/>
              </w:rPr>
              <w:t xml:space="preserve">Please also look for </w:t>
            </w:r>
            <w:r w:rsidR="004B0A8C" w:rsidRPr="004B0A8C">
              <w:rPr>
                <w:rFonts w:ascii="Palatino Linotype" w:hAnsi="Palatino Linotype"/>
                <w:color w:val="000000" w:themeColor="text1"/>
              </w:rPr>
              <w:t xml:space="preserve">announcements </w:t>
            </w:r>
            <w:r w:rsidRPr="004B0A8C">
              <w:rPr>
                <w:rFonts w:ascii="Palatino Linotype" w:hAnsi="Palatino Linotype"/>
                <w:color w:val="000000" w:themeColor="text1"/>
              </w:rPr>
              <w:t>about EXPLORATIONS 2019, which is the 20</w:t>
            </w:r>
            <w:r w:rsidRPr="004B0A8C">
              <w:rPr>
                <w:rFonts w:ascii="Palatino Linotype" w:hAnsi="Palatino Linotype"/>
                <w:color w:val="000000" w:themeColor="text1"/>
                <w:vertAlign w:val="superscript"/>
              </w:rPr>
              <w:t>th</w:t>
            </w:r>
            <w:r w:rsidRPr="004B0A8C">
              <w:rPr>
                <w:rFonts w:ascii="Palatino Linotype" w:hAnsi="Palatino Linotype"/>
                <w:color w:val="000000" w:themeColor="text1"/>
              </w:rPr>
              <w:t xml:space="preserve"> anniversary of the </w:t>
            </w:r>
            <w:r w:rsidR="004B0A8C" w:rsidRPr="004B0A8C">
              <w:rPr>
                <w:rFonts w:ascii="Palatino Linotype" w:hAnsi="Palatino Linotype"/>
                <w:color w:val="000000" w:themeColor="text1"/>
              </w:rPr>
              <w:t xml:space="preserve">celebration of research, scholarship </w:t>
            </w:r>
            <w:r w:rsidR="00365735">
              <w:rPr>
                <w:rFonts w:ascii="Palatino Linotype" w:hAnsi="Palatino Linotype"/>
                <w:color w:val="000000" w:themeColor="text1"/>
              </w:rPr>
              <w:t xml:space="preserve">and creative expression at WP.  </w:t>
            </w:r>
            <w:r w:rsidR="004B0A8C" w:rsidRPr="004B0A8C">
              <w:rPr>
                <w:rFonts w:ascii="Palatino Linotype" w:hAnsi="Palatino Linotype"/>
                <w:color w:val="000000" w:themeColor="text1"/>
              </w:rPr>
              <w:t xml:space="preserve">The dates of </w:t>
            </w:r>
            <w:r w:rsidR="004B0A8C" w:rsidRPr="00365735">
              <w:rPr>
                <w:rFonts w:ascii="Palatino Linotype" w:hAnsi="Palatino Linotype"/>
                <w:b/>
                <w:color w:val="000000" w:themeColor="text1"/>
              </w:rPr>
              <w:t>April 1 to April 12</w:t>
            </w:r>
            <w:r w:rsidR="004B0A8C" w:rsidRPr="004B0A8C">
              <w:rPr>
                <w:rFonts w:ascii="Palatino Linotype" w:hAnsi="Palatino Linotype"/>
                <w:color w:val="000000" w:themeColor="text1"/>
              </w:rPr>
              <w:t xml:space="preserve"> have been reserved for the core programming but activities and events will continue from early April </w:t>
            </w:r>
            <w:r w:rsidR="00365735">
              <w:rPr>
                <w:rFonts w:ascii="Palatino Linotype" w:hAnsi="Palatino Linotype"/>
                <w:color w:val="000000" w:themeColor="text1"/>
              </w:rPr>
              <w:t xml:space="preserve">through the exam period in May.  Please see the </w:t>
            </w:r>
            <w:hyperlink r:id="rId12" w:history="1">
              <w:r w:rsidR="00365735" w:rsidRPr="00365735">
                <w:rPr>
                  <w:rStyle w:val="Hyperlink"/>
                  <w:rFonts w:ascii="Palatino Linotype" w:hAnsi="Palatino Linotype"/>
                </w:rPr>
                <w:t>EXPLORATIONS website</w:t>
              </w:r>
            </w:hyperlink>
            <w:r w:rsidR="00365735">
              <w:rPr>
                <w:rFonts w:ascii="Palatino Linotype" w:hAnsi="Palatino Linotype"/>
                <w:color w:val="000000" w:themeColor="text1"/>
              </w:rPr>
              <w:t xml:space="preserve"> for more details; additional information will be posted in </w:t>
            </w:r>
            <w:r w:rsidR="00365735" w:rsidRPr="004B0A8C">
              <w:rPr>
                <w:rFonts w:ascii="Palatino Linotype" w:hAnsi="Palatino Linotype"/>
                <w:color w:val="000000" w:themeColor="text1"/>
              </w:rPr>
              <w:t>early 2019.</w:t>
            </w:r>
            <w:r w:rsidR="00365735">
              <w:rPr>
                <w:rFonts w:ascii="Palatino Linotype" w:hAnsi="Palatino Linotype"/>
                <w:color w:val="000000" w:themeColor="text1"/>
              </w:rPr>
              <w:t xml:space="preserve"> </w:t>
            </w:r>
          </w:p>
          <w:p w:rsidR="00F2532A" w:rsidRDefault="00365735" w:rsidP="004B0A8C">
            <w:pPr>
              <w:spacing w:after="0"/>
              <w:ind w:left="144"/>
              <w:rPr>
                <w:rFonts w:ascii="Palatino Linotype" w:hAnsi="Palatino Linotype"/>
                <w:color w:val="000000" w:themeColor="text1"/>
              </w:rPr>
            </w:pPr>
            <w:r>
              <w:rPr>
                <w:rFonts w:ascii="Palatino Linotype" w:hAnsi="Palatino Linotype"/>
                <w:color w:val="000000" w:themeColor="text1"/>
              </w:rPr>
              <w:t xml:space="preserve"> </w:t>
            </w:r>
          </w:p>
          <w:p w:rsidR="007A4F2B" w:rsidRPr="004B0A8C" w:rsidRDefault="004B0A8C" w:rsidP="004B0A8C">
            <w:pPr>
              <w:spacing w:after="0"/>
              <w:ind w:left="144"/>
              <w:rPr>
                <w:rFonts w:ascii="Palatino Linotype" w:hAnsi="Palatino Linotype"/>
                <w:color w:val="000000" w:themeColor="text1"/>
              </w:rPr>
            </w:pPr>
            <w:r w:rsidRPr="004B0A8C">
              <w:rPr>
                <w:rFonts w:ascii="Palatino Linotype" w:hAnsi="Palatino Linotype"/>
                <w:color w:val="000000" w:themeColor="text1"/>
              </w:rPr>
              <w:t xml:space="preserve">We </w:t>
            </w:r>
            <w:r w:rsidR="00F2532A">
              <w:rPr>
                <w:rFonts w:ascii="Palatino Linotype" w:hAnsi="Palatino Linotype"/>
                <w:color w:val="000000" w:themeColor="text1"/>
              </w:rPr>
              <w:t xml:space="preserve">will also continue </w:t>
            </w:r>
            <w:r w:rsidRPr="004B0A8C">
              <w:rPr>
                <w:rFonts w:ascii="Palatino Linotype" w:hAnsi="Palatino Linotype"/>
                <w:color w:val="000000" w:themeColor="text1"/>
              </w:rPr>
              <w:t xml:space="preserve">our efforts in </w:t>
            </w:r>
            <w:r w:rsidR="00F2532A">
              <w:rPr>
                <w:rFonts w:ascii="Palatino Linotype" w:hAnsi="Palatino Linotype"/>
                <w:color w:val="000000" w:themeColor="text1"/>
              </w:rPr>
              <w:t>improving our processes</w:t>
            </w:r>
            <w:r w:rsidRPr="004B0A8C">
              <w:rPr>
                <w:rFonts w:ascii="Palatino Linotype" w:hAnsi="Palatino Linotype"/>
                <w:color w:val="000000" w:themeColor="text1"/>
              </w:rPr>
              <w:t xml:space="preserve"> and procedures in order to support the WP community. </w:t>
            </w:r>
          </w:p>
          <w:p w:rsidR="00F2532A" w:rsidRDefault="00F2532A" w:rsidP="004B0A8C">
            <w:pPr>
              <w:spacing w:after="0"/>
              <w:ind w:left="144"/>
              <w:rPr>
                <w:rFonts w:ascii="Palatino Linotype" w:hAnsi="Palatino Linotype"/>
                <w:color w:val="000000" w:themeColor="text1"/>
              </w:rPr>
            </w:pPr>
          </w:p>
          <w:p w:rsidR="00F2532A" w:rsidRDefault="004B0A8C" w:rsidP="004B0A8C">
            <w:pPr>
              <w:spacing w:after="0"/>
              <w:ind w:left="144"/>
              <w:rPr>
                <w:rFonts w:ascii="Palatino Linotype" w:hAnsi="Palatino Linotype"/>
                <w:color w:val="000000" w:themeColor="text1"/>
              </w:rPr>
            </w:pPr>
            <w:r w:rsidRPr="004B0A8C">
              <w:rPr>
                <w:rFonts w:ascii="Palatino Linotype" w:hAnsi="Palatino Linotype"/>
                <w:color w:val="000000" w:themeColor="text1"/>
              </w:rPr>
              <w:t xml:space="preserve">Please contact OSP with any questions or for more </w:t>
            </w:r>
            <w:r w:rsidR="00943311">
              <w:rPr>
                <w:rFonts w:ascii="Palatino Linotype" w:hAnsi="Palatino Linotype"/>
                <w:color w:val="000000" w:themeColor="text1"/>
              </w:rPr>
              <w:t>information about the topics included in this announcement message or any of the previous funding opportunity announcements.</w:t>
            </w:r>
          </w:p>
          <w:p w:rsidR="00F2532A" w:rsidRDefault="00F2532A" w:rsidP="004B0A8C">
            <w:pPr>
              <w:spacing w:after="0"/>
              <w:ind w:left="144"/>
              <w:rPr>
                <w:rFonts w:ascii="Palatino Linotype" w:hAnsi="Palatino Linotype"/>
                <w:color w:val="000000" w:themeColor="text1"/>
              </w:rPr>
            </w:pPr>
          </w:p>
          <w:p w:rsidR="004B0A8C" w:rsidRPr="00800DB9" w:rsidRDefault="004B0A8C" w:rsidP="004B0A8C">
            <w:pPr>
              <w:spacing w:after="0"/>
              <w:ind w:left="144"/>
              <w:rPr>
                <w:rFonts w:ascii="Palatino Linotype" w:hAnsi="Palatino Linotype"/>
                <w:color w:val="000000" w:themeColor="text1"/>
              </w:rPr>
            </w:pPr>
            <w:r w:rsidRPr="004B0A8C">
              <w:rPr>
                <w:rFonts w:ascii="Palatino Linotype" w:hAnsi="Palatino Linotype"/>
                <w:color w:val="000000" w:themeColor="text1"/>
              </w:rPr>
              <w:t>Have a great break!</w:t>
            </w:r>
          </w:p>
        </w:tc>
      </w:tr>
      <w:tr w:rsidR="00EA011A" w:rsidRPr="00752727" w:rsidTr="004B0A8C">
        <w:trPr>
          <w:trHeight w:val="620"/>
        </w:trPr>
        <w:tc>
          <w:tcPr>
            <w:tcW w:w="3348" w:type="dxa"/>
            <w:gridSpan w:val="5"/>
          </w:tcPr>
          <w:tbl>
            <w:tblPr>
              <w:tblW w:w="3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000"/>
              <w:tblLayout w:type="fixed"/>
              <w:tblLook w:val="04A0" w:firstRow="1" w:lastRow="0" w:firstColumn="1" w:lastColumn="0" w:noHBand="0" w:noVBand="1"/>
            </w:tblPr>
            <w:tblGrid>
              <w:gridCol w:w="3385"/>
            </w:tblGrid>
            <w:tr w:rsidR="00EA011A" w:rsidRPr="00752727" w:rsidTr="0040316E">
              <w:trPr>
                <w:trHeight w:val="872"/>
              </w:trPr>
              <w:tc>
                <w:tcPr>
                  <w:tcW w:w="3385" w:type="dxa"/>
                  <w:shd w:val="clear" w:color="auto" w:fill="FFC000"/>
                </w:tcPr>
                <w:p w:rsidR="00EA011A" w:rsidRPr="00752727" w:rsidRDefault="001E56D4" w:rsidP="00EA011A">
                  <w:pPr>
                    <w:spacing w:after="0" w:line="240" w:lineRule="auto"/>
                    <w:ind w:right="144"/>
                    <w:rPr>
                      <w:b/>
                      <w:i/>
                      <w:sz w:val="32"/>
                      <w:szCs w:val="32"/>
                    </w:rPr>
                  </w:pPr>
                  <w:r>
                    <w:lastRenderedPageBreak/>
                    <w:br w:type="page"/>
                  </w:r>
                  <w:r w:rsidR="00EA011A" w:rsidRPr="00752727">
                    <w:rPr>
                      <w:b/>
                      <w:i/>
                      <w:sz w:val="32"/>
                      <w:szCs w:val="32"/>
                    </w:rPr>
                    <w:t>Search for Funding</w:t>
                  </w:r>
                </w:p>
                <w:p w:rsidR="00EA011A" w:rsidRPr="00752727" w:rsidRDefault="00EA011A" w:rsidP="00EA011A">
                  <w:pPr>
                    <w:spacing w:after="0" w:line="240" w:lineRule="auto"/>
                    <w:ind w:right="144"/>
                    <w:rPr>
                      <w:rFonts w:ascii="Arial" w:hAnsi="Arial" w:cs="Arial"/>
                      <w:sz w:val="20"/>
                      <w:szCs w:val="20"/>
                    </w:rPr>
                  </w:pPr>
                  <w:r w:rsidRPr="00752727">
                    <w:rPr>
                      <w:rFonts w:ascii="Arial" w:hAnsi="Arial" w:cs="Arial"/>
                      <w:sz w:val="20"/>
                      <w:szCs w:val="20"/>
                    </w:rPr>
                    <w:t>*Use online databases such as the subscription services provided through WPU’s Office of Sponsored Programs or free services available from the Federal Government or other programs*</w:t>
                  </w:r>
                </w:p>
                <w:p w:rsidR="00EA011A" w:rsidRPr="00752727" w:rsidRDefault="00EA011A" w:rsidP="00EA011A">
                  <w:pPr>
                    <w:spacing w:after="0" w:line="240" w:lineRule="auto"/>
                    <w:ind w:right="144"/>
                    <w:rPr>
                      <w:b/>
                      <w:i/>
                      <w:sz w:val="16"/>
                      <w:szCs w:val="16"/>
                    </w:rPr>
                  </w:pPr>
                </w:p>
                <w:p w:rsidR="00EA011A" w:rsidRPr="00752727" w:rsidRDefault="003953A9" w:rsidP="00EA011A">
                  <w:pPr>
                    <w:spacing w:after="0" w:line="240" w:lineRule="auto"/>
                    <w:ind w:right="144"/>
                    <w:rPr>
                      <w:rFonts w:ascii="Arial" w:hAnsi="Arial" w:cs="Arial"/>
                      <w:color w:val="313131"/>
                      <w:bdr w:val="none" w:sz="0" w:space="0" w:color="auto" w:frame="1"/>
                    </w:rPr>
                  </w:pPr>
                  <w:hyperlink r:id="rId13" w:history="1">
                    <w:r w:rsidR="00EA011A" w:rsidRPr="00752727">
                      <w:rPr>
                        <w:rFonts w:ascii="Arial" w:hAnsi="Arial" w:cs="Arial"/>
                        <w:b/>
                        <w:color w:val="0000FF"/>
                        <w:u w:val="single"/>
                        <w:bdr w:val="none" w:sz="0" w:space="0" w:color="auto" w:frame="1"/>
                      </w:rPr>
                      <w:t>Grant Search</w:t>
                    </w:r>
                  </w:hyperlink>
                  <w:r w:rsidR="00EA011A" w:rsidRPr="00752727">
                    <w:rPr>
                      <w:rFonts w:ascii="Arial" w:hAnsi="Arial" w:cs="Arial"/>
                      <w:color w:val="313131"/>
                      <w:bdr w:val="none" w:sz="0" w:space="0" w:color="auto" w:frame="1"/>
                    </w:rPr>
                    <w:t xml:space="preserve"> </w:t>
                  </w:r>
                </w:p>
                <w:p w:rsidR="00EA011A" w:rsidRPr="00752727" w:rsidRDefault="00EA011A" w:rsidP="00EA011A">
                  <w:pPr>
                    <w:spacing w:after="0" w:line="240" w:lineRule="auto"/>
                    <w:ind w:right="144"/>
                    <w:rPr>
                      <w:rFonts w:ascii="Arial" w:hAnsi="Arial" w:cs="Arial"/>
                      <w:color w:val="313131"/>
                      <w:bdr w:val="none" w:sz="0" w:space="0" w:color="auto" w:frame="1"/>
                    </w:rPr>
                  </w:pPr>
                  <w:r w:rsidRPr="00752727">
                    <w:rPr>
                      <w:rFonts w:ascii="Arial" w:hAnsi="Arial" w:cs="Arial"/>
                      <w:color w:val="313131"/>
                      <w:bdr w:val="none" w:sz="0" w:space="0" w:color="auto" w:frame="1"/>
                    </w:rPr>
                    <w:t>Search for funding that is right for public colleges and universities.</w:t>
                  </w:r>
                </w:p>
                <w:p w:rsidR="00EA011A" w:rsidRPr="00752727" w:rsidRDefault="00EA011A" w:rsidP="00EA011A">
                  <w:pPr>
                    <w:spacing w:after="0" w:line="240" w:lineRule="auto"/>
                    <w:ind w:right="144"/>
                    <w:rPr>
                      <w:rFonts w:ascii="Arial" w:hAnsi="Arial" w:cs="Arial"/>
                      <w:color w:val="313131"/>
                      <w:sz w:val="16"/>
                      <w:szCs w:val="16"/>
                      <w:bdr w:val="none" w:sz="0" w:space="0" w:color="auto" w:frame="1"/>
                    </w:rPr>
                  </w:pPr>
                </w:p>
                <w:p w:rsidR="00EA011A" w:rsidRPr="00752727" w:rsidRDefault="003953A9" w:rsidP="00EA011A">
                  <w:pPr>
                    <w:spacing w:after="0" w:line="240" w:lineRule="auto"/>
                    <w:ind w:right="144"/>
                    <w:rPr>
                      <w:rFonts w:ascii="Arial" w:hAnsi="Arial" w:cs="Arial"/>
                      <w:color w:val="313131"/>
                      <w:bdr w:val="none" w:sz="0" w:space="0" w:color="auto" w:frame="1"/>
                    </w:rPr>
                  </w:pPr>
                  <w:hyperlink r:id="rId14" w:history="1">
                    <w:r w:rsidR="00EA011A" w:rsidRPr="00752727">
                      <w:rPr>
                        <w:rFonts w:ascii="Arial" w:hAnsi="Arial" w:cs="Arial"/>
                        <w:b/>
                        <w:color w:val="0000FF"/>
                        <w:u w:val="single"/>
                        <w:bdr w:val="none" w:sz="0" w:space="0" w:color="auto" w:frame="1"/>
                      </w:rPr>
                      <w:t>Grants.gov</w:t>
                    </w:r>
                  </w:hyperlink>
                  <w:r w:rsidR="00EA011A" w:rsidRPr="00752727">
                    <w:rPr>
                      <w:rFonts w:ascii="Arial" w:hAnsi="Arial" w:cs="Arial"/>
                      <w:color w:val="313131"/>
                      <w:sz w:val="21"/>
                      <w:szCs w:val="21"/>
                      <w:shd w:val="clear" w:color="auto" w:fill="F7F8FA"/>
                    </w:rPr>
                    <w:t xml:space="preserve"> </w:t>
                  </w:r>
                </w:p>
                <w:p w:rsidR="00EA011A" w:rsidRPr="00752727" w:rsidRDefault="00EA011A" w:rsidP="00EA011A">
                  <w:pPr>
                    <w:spacing w:after="0" w:line="240" w:lineRule="auto"/>
                    <w:ind w:right="144"/>
                    <w:rPr>
                      <w:rFonts w:ascii="Arial" w:hAnsi="Arial" w:cs="Arial"/>
                      <w:color w:val="313131"/>
                      <w:bdr w:val="none" w:sz="0" w:space="0" w:color="auto" w:frame="1"/>
                    </w:rPr>
                  </w:pPr>
                  <w:r w:rsidRPr="00752727">
                    <w:rPr>
                      <w:rFonts w:ascii="Arial" w:hAnsi="Arial" w:cs="Arial"/>
                      <w:color w:val="313131"/>
                      <w:bdr w:val="none" w:sz="0" w:space="0" w:color="auto" w:frame="1"/>
                    </w:rPr>
                    <w:t>Federal portal to finding funding opportunities and applying for support.</w:t>
                  </w:r>
                </w:p>
                <w:p w:rsidR="00EA011A" w:rsidRPr="00752727" w:rsidRDefault="00EA011A" w:rsidP="00EA011A">
                  <w:pPr>
                    <w:spacing w:after="0" w:line="240" w:lineRule="auto"/>
                    <w:ind w:right="144"/>
                    <w:rPr>
                      <w:rFonts w:ascii="Arial" w:hAnsi="Arial" w:cs="Arial"/>
                      <w:b/>
                      <w:color w:val="313131"/>
                      <w:sz w:val="16"/>
                      <w:szCs w:val="16"/>
                      <w:bdr w:val="none" w:sz="0" w:space="0" w:color="auto" w:frame="1"/>
                    </w:rPr>
                  </w:pPr>
                </w:p>
                <w:p w:rsidR="00EA011A" w:rsidRPr="00752727" w:rsidRDefault="003953A9" w:rsidP="00EA011A">
                  <w:pPr>
                    <w:spacing w:after="0" w:line="240" w:lineRule="auto"/>
                    <w:ind w:right="144"/>
                    <w:rPr>
                      <w:bdr w:val="none" w:sz="0" w:space="0" w:color="auto" w:frame="1"/>
                    </w:rPr>
                  </w:pPr>
                  <w:hyperlink r:id="rId15" w:history="1">
                    <w:r w:rsidR="00EA011A" w:rsidRPr="00752727">
                      <w:rPr>
                        <w:rFonts w:ascii="Arial" w:hAnsi="Arial" w:cs="Arial"/>
                        <w:b/>
                        <w:color w:val="0000FF"/>
                        <w:u w:val="single"/>
                        <w:bdr w:val="none" w:sz="0" w:space="0" w:color="auto" w:frame="1"/>
                      </w:rPr>
                      <w:t>Grant Resource Center</w:t>
                    </w:r>
                  </w:hyperlink>
                  <w:r w:rsidR="00EA011A" w:rsidRPr="00752727">
                    <w:rPr>
                      <w:bdr w:val="none" w:sz="0" w:space="0" w:color="auto" w:frame="1"/>
                    </w:rPr>
                    <w:t> </w:t>
                  </w:r>
                </w:p>
                <w:p w:rsidR="00EA011A" w:rsidRPr="00DB0F65" w:rsidRDefault="00EA011A" w:rsidP="00EA011A">
                  <w:pPr>
                    <w:spacing w:after="0" w:line="240" w:lineRule="auto"/>
                    <w:ind w:right="144"/>
                    <w:rPr>
                      <w:rFonts w:ascii="Arial" w:hAnsi="Arial" w:cs="Arial"/>
                      <w:color w:val="313131"/>
                      <w:sz w:val="21"/>
                      <w:szCs w:val="21"/>
                      <w:shd w:val="clear" w:color="auto" w:fill="F7F8FA"/>
                    </w:rPr>
                  </w:pPr>
                  <w:r w:rsidRPr="00752727">
                    <w:rPr>
                      <w:rFonts w:ascii="Arial" w:hAnsi="Arial" w:cs="Arial"/>
                      <w:color w:val="313131"/>
                      <w:bdr w:val="none" w:sz="0" w:space="0" w:color="auto" w:frame="1"/>
                    </w:rPr>
                    <w:t>Extensive information on federal and other funding opportunities.</w:t>
                  </w:r>
                </w:p>
              </w:tc>
            </w:tr>
          </w:tbl>
          <w:p w:rsidR="00EA011A" w:rsidRDefault="00EA011A" w:rsidP="00F27DB1">
            <w:pPr>
              <w:spacing w:before="120" w:after="0"/>
              <w:ind w:left="144" w:right="144"/>
              <w:jc w:val="center"/>
            </w:pPr>
            <w:r>
              <w:t>*****</w:t>
            </w:r>
          </w:p>
          <w:p w:rsidR="00AA59EE" w:rsidRDefault="00AA59EE" w:rsidP="001E42FF">
            <w:pPr>
              <w:spacing w:after="120" w:line="240" w:lineRule="auto"/>
              <w:rPr>
                <w:rFonts w:ascii="Times New Roman" w:hAnsi="Times New Roman"/>
                <w:sz w:val="24"/>
                <w:szCs w:val="24"/>
              </w:rPr>
            </w:pPr>
          </w:p>
        </w:tc>
        <w:tc>
          <w:tcPr>
            <w:tcW w:w="7267" w:type="dxa"/>
            <w:gridSpan w:val="7"/>
            <w:shd w:val="clear" w:color="auto" w:fill="auto"/>
          </w:tcPr>
          <w:p w:rsidR="000E1C67" w:rsidRDefault="00FC2DA7" w:rsidP="000E1C67">
            <w:pPr>
              <w:shd w:val="clear" w:color="auto" w:fill="FFFFFF"/>
              <w:spacing w:after="240" w:line="240" w:lineRule="auto"/>
              <w:jc w:val="center"/>
              <w:rPr>
                <w:rFonts w:ascii="Palatino Linotype" w:hAnsi="Palatino Linotype"/>
                <w:b/>
                <w:sz w:val="48"/>
                <w:szCs w:val="48"/>
                <w:u w:val="single"/>
              </w:rPr>
            </w:pPr>
            <w:r w:rsidRPr="000300C6">
              <w:rPr>
                <w:rFonts w:ascii="Palatino Linotype" w:hAnsi="Palatino Linotype"/>
                <w:b/>
                <w:sz w:val="48"/>
                <w:szCs w:val="48"/>
                <w:u w:val="single"/>
              </w:rPr>
              <w:t>Funding Opportunities</w:t>
            </w:r>
          </w:p>
          <w:p w:rsidR="00813081" w:rsidRDefault="00813081" w:rsidP="008904E2">
            <w:pPr>
              <w:pStyle w:val="NormalWeb"/>
              <w:spacing w:before="0" w:beforeAutospacing="0" w:after="0" w:afterAutospacing="0"/>
              <w:ind w:left="144"/>
              <w:rPr>
                <w:rFonts w:ascii="Palatino Linotype" w:hAnsi="Palatino Linotype" w:cs="Arial"/>
                <w:b/>
                <w:sz w:val="20"/>
                <w:szCs w:val="20"/>
                <w:u w:val="single"/>
                <w:shd w:val="clear" w:color="auto" w:fill="FFFFFF"/>
              </w:rPr>
            </w:pPr>
            <w:bookmarkStart w:id="1" w:name="PAG"/>
            <w:r w:rsidRPr="00813081">
              <w:rPr>
                <w:rFonts w:ascii="Palatino Linotype" w:hAnsi="Palatino Linotype" w:cs="Arial"/>
                <w:b/>
                <w:sz w:val="20"/>
                <w:szCs w:val="20"/>
                <w:u w:val="single"/>
                <w:shd w:val="clear" w:color="auto" w:fill="FFFFFF"/>
              </w:rPr>
              <w:t>Preservation Assistance Grants for Smaller Institutions</w:t>
            </w:r>
          </w:p>
          <w:bookmarkEnd w:id="1"/>
          <w:p w:rsidR="00813081" w:rsidRDefault="00813081" w:rsidP="008904E2">
            <w:pPr>
              <w:pStyle w:val="NormalWeb"/>
              <w:spacing w:before="0" w:beforeAutospacing="0" w:after="0" w:afterAutospacing="0"/>
              <w:ind w:left="144"/>
              <w:rPr>
                <w:rFonts w:ascii="Palatino Linotype" w:hAnsi="Palatino Linotype" w:cs="Arial"/>
                <w:b/>
                <w:i/>
                <w:sz w:val="20"/>
                <w:szCs w:val="20"/>
              </w:rPr>
            </w:pPr>
            <w:r w:rsidRPr="00813081">
              <w:rPr>
                <w:rFonts w:ascii="Palatino Linotype" w:hAnsi="Palatino Linotype" w:cs="Arial"/>
                <w:b/>
                <w:i/>
                <w:sz w:val="20"/>
                <w:szCs w:val="20"/>
              </w:rPr>
              <w:t xml:space="preserve">National Endowment for the Humanities  </w:t>
            </w:r>
          </w:p>
          <w:p w:rsidR="008904E2" w:rsidRDefault="00813081" w:rsidP="008904E2">
            <w:pPr>
              <w:pStyle w:val="NormalWeb"/>
              <w:spacing w:before="0" w:beforeAutospacing="0" w:after="0" w:afterAutospacing="0"/>
              <w:ind w:left="144"/>
              <w:rPr>
                <w:rFonts w:ascii="Palatino Linotype" w:hAnsi="Palatino Linotype" w:cs="Arial"/>
                <w:sz w:val="20"/>
                <w:szCs w:val="20"/>
                <w:shd w:val="clear" w:color="auto" w:fill="FFFFFF"/>
              </w:rPr>
            </w:pPr>
            <w:r w:rsidRPr="00813081">
              <w:rPr>
                <w:rFonts w:ascii="Palatino Linotype" w:hAnsi="Palatino Linotype" w:cs="Arial"/>
                <w:sz w:val="20"/>
                <w:szCs w:val="20"/>
                <w:shd w:val="clear" w:color="auto" w:fill="FFFFFF"/>
              </w:rPr>
              <w:t>Preservation Assistance Grants help small and mid-sized institutions—such as libraries, museums, historical societies, archival repositories, cultural organizations, town and county records offices, and colleges and universities—improve their ability to preserve and care for their significant humanities collections. Applicants must draw on the knowledge of consultants whose preservation skills and experience</w:t>
            </w:r>
            <w:r w:rsidR="004F7EB5">
              <w:rPr>
                <w:rFonts w:ascii="Palatino Linotype" w:hAnsi="Palatino Linotype" w:cs="Arial"/>
                <w:sz w:val="20"/>
                <w:szCs w:val="20"/>
                <w:shd w:val="clear" w:color="auto" w:fill="FFFFFF"/>
              </w:rPr>
              <w:t xml:space="preserve"> </w:t>
            </w:r>
            <w:r w:rsidRPr="00813081">
              <w:rPr>
                <w:rFonts w:ascii="Palatino Linotype" w:hAnsi="Palatino Linotype" w:cs="Arial"/>
                <w:sz w:val="20"/>
                <w:szCs w:val="20"/>
                <w:shd w:val="clear" w:color="auto" w:fill="FFFFFF"/>
              </w:rPr>
              <w:t xml:space="preserve">are related to the types of collections and the nature of the activities on which their projects focus. </w:t>
            </w:r>
            <w:r w:rsidR="004F7EB5">
              <w:rPr>
                <w:rFonts w:ascii="Palatino Linotype" w:hAnsi="Palatino Linotype" w:cs="Arial"/>
                <w:sz w:val="20"/>
                <w:szCs w:val="20"/>
                <w:shd w:val="clear" w:color="auto" w:fill="FFFFFF"/>
              </w:rPr>
              <w:br/>
            </w:r>
            <w:r w:rsidRPr="00813081">
              <w:rPr>
                <w:rFonts w:ascii="Palatino Linotype" w:hAnsi="Palatino Linotype" w:cs="Arial"/>
                <w:sz w:val="20"/>
                <w:szCs w:val="20"/>
                <w:shd w:val="clear" w:color="auto" w:fill="FFFFFF"/>
              </w:rPr>
              <w:t xml:space="preserve">Proposals are due by January 31, 2019. For more information please visit </w:t>
            </w:r>
            <w:hyperlink r:id="rId16" w:history="1">
              <w:r w:rsidRPr="00813081">
                <w:rPr>
                  <w:rStyle w:val="Hyperlink"/>
                  <w:rFonts w:ascii="Palatino Linotype" w:hAnsi="Palatino Linotype" w:cs="Arial"/>
                  <w:sz w:val="20"/>
                  <w:szCs w:val="20"/>
                  <w:shd w:val="clear" w:color="auto" w:fill="FFFFFF"/>
                </w:rPr>
                <w:t>neh.gov</w:t>
              </w:r>
            </w:hyperlink>
            <w:r w:rsidRPr="00813081">
              <w:rPr>
                <w:rFonts w:ascii="Palatino Linotype" w:hAnsi="Palatino Linotype" w:cs="Arial"/>
                <w:sz w:val="20"/>
                <w:szCs w:val="20"/>
                <w:shd w:val="clear" w:color="auto" w:fill="FFFFFF"/>
              </w:rPr>
              <w:t xml:space="preserve">. </w:t>
            </w:r>
          </w:p>
          <w:p w:rsidR="00813081" w:rsidRPr="008904E2" w:rsidRDefault="00813081" w:rsidP="008904E2">
            <w:pPr>
              <w:pStyle w:val="NormalWeb"/>
              <w:spacing w:before="0" w:beforeAutospacing="0" w:after="0" w:afterAutospacing="0"/>
              <w:ind w:left="144"/>
              <w:rPr>
                <w:rFonts w:ascii="Palatino Linotype" w:hAnsi="Palatino Linotype" w:cs="Arial"/>
                <w:b/>
                <w:i/>
                <w:sz w:val="20"/>
                <w:szCs w:val="20"/>
              </w:rPr>
            </w:pPr>
          </w:p>
          <w:p w:rsidR="00813081" w:rsidRDefault="00813081" w:rsidP="00813081">
            <w:pPr>
              <w:pStyle w:val="NormalWeb"/>
              <w:spacing w:before="0" w:beforeAutospacing="0" w:after="0" w:afterAutospacing="0"/>
              <w:ind w:left="144"/>
              <w:rPr>
                <w:rFonts w:ascii="Palatino Linotype" w:hAnsi="Palatino Linotype" w:cs="Arial"/>
                <w:b/>
                <w:sz w:val="20"/>
                <w:szCs w:val="20"/>
                <w:u w:val="single"/>
                <w:shd w:val="clear" w:color="auto" w:fill="FFFFFF"/>
              </w:rPr>
            </w:pPr>
            <w:bookmarkStart w:id="2" w:name="DEG"/>
            <w:r w:rsidRPr="00813081">
              <w:rPr>
                <w:rFonts w:ascii="Palatino Linotype" w:hAnsi="Palatino Linotype" w:cs="Arial"/>
                <w:b/>
                <w:sz w:val="20"/>
                <w:szCs w:val="20"/>
                <w:u w:val="single"/>
                <w:shd w:val="clear" w:color="auto" w:fill="FFFFFF"/>
              </w:rPr>
              <w:t>Digital Extension Grants</w:t>
            </w:r>
          </w:p>
          <w:bookmarkEnd w:id="2"/>
          <w:p w:rsidR="00AF3402" w:rsidRDefault="00813081" w:rsidP="00AF3402">
            <w:pPr>
              <w:pStyle w:val="NormalWeb"/>
              <w:spacing w:before="0" w:beforeAutospacing="0" w:after="0" w:afterAutospacing="0"/>
              <w:ind w:left="144"/>
              <w:rPr>
                <w:rFonts w:ascii="Palatino Linotype" w:hAnsi="Palatino Linotype" w:cs="Arial"/>
                <w:b/>
                <w:i/>
                <w:sz w:val="20"/>
                <w:szCs w:val="20"/>
              </w:rPr>
            </w:pPr>
            <w:r w:rsidRPr="00813081">
              <w:rPr>
                <w:rFonts w:ascii="Palatino Linotype" w:hAnsi="Palatino Linotype" w:cs="Arial"/>
                <w:b/>
                <w:i/>
                <w:sz w:val="20"/>
                <w:szCs w:val="20"/>
              </w:rPr>
              <w:t>American Council of Learned Societies (ACLS)</w:t>
            </w:r>
          </w:p>
          <w:p w:rsidR="00813081" w:rsidRDefault="00813081" w:rsidP="00AF3402">
            <w:pPr>
              <w:pStyle w:val="NormalWeb"/>
              <w:spacing w:before="0" w:beforeAutospacing="0" w:after="0" w:afterAutospacing="0"/>
              <w:ind w:left="144"/>
              <w:rPr>
                <w:rFonts w:ascii="Palatino Linotype" w:hAnsi="Palatino Linotype" w:cs="Arial"/>
                <w:sz w:val="20"/>
                <w:szCs w:val="20"/>
                <w:shd w:val="clear" w:color="auto" w:fill="FFFFFF"/>
              </w:rPr>
            </w:pPr>
            <w:r w:rsidRPr="00813081">
              <w:rPr>
                <w:rFonts w:ascii="Palatino Linotype" w:hAnsi="Palatino Linotype" w:cs="Arial"/>
                <w:sz w:val="20"/>
                <w:szCs w:val="20"/>
                <w:shd w:val="clear" w:color="auto" w:fill="FFFFFF"/>
              </w:rPr>
              <w:t>These grants support teams of scholars as they enhance existing humanities or social science digital projects in ways that engage new audiences across a range of academic communities and institutions. The principal investigator must be a scholar in the humanities or social sciences and possess a Ph.D. (or demonstrate the equivalen</w:t>
            </w:r>
            <w:r>
              <w:rPr>
                <w:rFonts w:ascii="Palatino Linotype" w:hAnsi="Palatino Linotype" w:cs="Arial"/>
                <w:sz w:val="20"/>
                <w:szCs w:val="20"/>
                <w:shd w:val="clear" w:color="auto" w:fill="FFFFFF"/>
              </w:rPr>
              <w:t xml:space="preserve">t in experience and publishing). </w:t>
            </w:r>
            <w:r w:rsidR="004F7EB5">
              <w:rPr>
                <w:rFonts w:ascii="Palatino Linotype" w:hAnsi="Palatino Linotype" w:cs="Arial"/>
                <w:sz w:val="20"/>
                <w:szCs w:val="20"/>
                <w:shd w:val="clear" w:color="auto" w:fill="FFFFFF"/>
              </w:rPr>
              <w:br/>
            </w:r>
            <w:r w:rsidRPr="00813081">
              <w:rPr>
                <w:rFonts w:ascii="Palatino Linotype" w:hAnsi="Palatino Linotype" w:cs="Arial"/>
                <w:sz w:val="20"/>
                <w:szCs w:val="20"/>
                <w:shd w:val="clear" w:color="auto" w:fill="FFFFFF"/>
              </w:rPr>
              <w:t>Propo</w:t>
            </w:r>
            <w:r w:rsidR="00A12D7F">
              <w:rPr>
                <w:rFonts w:ascii="Palatino Linotype" w:hAnsi="Palatino Linotype" w:cs="Arial"/>
                <w:sz w:val="20"/>
                <w:szCs w:val="20"/>
                <w:shd w:val="clear" w:color="auto" w:fill="FFFFFF"/>
              </w:rPr>
              <w:t>sals are due by January 26, 2019</w:t>
            </w:r>
            <w:r w:rsidRPr="00813081">
              <w:rPr>
                <w:rFonts w:ascii="Palatino Linotype" w:hAnsi="Palatino Linotype" w:cs="Arial"/>
                <w:sz w:val="20"/>
                <w:szCs w:val="20"/>
                <w:shd w:val="clear" w:color="auto" w:fill="FFFFFF"/>
              </w:rPr>
              <w:t xml:space="preserve">. For more information visit </w:t>
            </w:r>
            <w:hyperlink r:id="rId17" w:history="1">
              <w:r w:rsidRPr="00813081">
                <w:rPr>
                  <w:rStyle w:val="Hyperlink"/>
                  <w:rFonts w:ascii="Palatino Linotype" w:hAnsi="Palatino Linotype" w:cs="Arial"/>
                  <w:sz w:val="20"/>
                  <w:szCs w:val="20"/>
                  <w:shd w:val="clear" w:color="auto" w:fill="FFFFFF"/>
                </w:rPr>
                <w:t>acls.org</w:t>
              </w:r>
            </w:hyperlink>
            <w:r>
              <w:rPr>
                <w:rFonts w:ascii="Palatino Linotype" w:hAnsi="Palatino Linotype" w:cs="Arial"/>
                <w:sz w:val="20"/>
                <w:szCs w:val="20"/>
                <w:shd w:val="clear" w:color="auto" w:fill="FFFFFF"/>
              </w:rPr>
              <w:t>.</w:t>
            </w:r>
          </w:p>
          <w:p w:rsidR="00AF3402" w:rsidRPr="00AF3402" w:rsidRDefault="00AF3402" w:rsidP="00AF3402">
            <w:pPr>
              <w:pStyle w:val="NormalWeb"/>
              <w:spacing w:before="0" w:beforeAutospacing="0" w:after="0" w:afterAutospacing="0"/>
              <w:ind w:left="144"/>
              <w:rPr>
                <w:rFonts w:ascii="Palatino Linotype" w:hAnsi="Palatino Linotype" w:cs="Arial"/>
                <w:b/>
                <w:i/>
                <w:sz w:val="20"/>
                <w:szCs w:val="20"/>
              </w:rPr>
            </w:pPr>
          </w:p>
          <w:p w:rsidR="00813081" w:rsidRDefault="00813081" w:rsidP="00813081">
            <w:pPr>
              <w:pStyle w:val="NormalWeb"/>
              <w:spacing w:before="0" w:beforeAutospacing="0" w:after="0" w:afterAutospacing="0"/>
              <w:ind w:left="144"/>
              <w:rPr>
                <w:rFonts w:ascii="Palatino Linotype" w:hAnsi="Palatino Linotype" w:cs="Arial"/>
                <w:b/>
                <w:sz w:val="20"/>
                <w:szCs w:val="20"/>
                <w:u w:val="single"/>
                <w:shd w:val="clear" w:color="auto" w:fill="FFFFFF"/>
              </w:rPr>
            </w:pPr>
            <w:bookmarkStart w:id="3" w:name="BR"/>
            <w:r w:rsidRPr="00813081">
              <w:rPr>
                <w:rFonts w:ascii="Palatino Linotype" w:hAnsi="Palatino Linotype" w:cs="Arial"/>
                <w:b/>
                <w:sz w:val="20"/>
                <w:szCs w:val="20"/>
                <w:u w:val="single"/>
                <w:shd w:val="clear" w:color="auto" w:fill="FFFFFF"/>
              </w:rPr>
              <w:t>The Big Read</w:t>
            </w:r>
          </w:p>
          <w:bookmarkEnd w:id="3"/>
          <w:p w:rsidR="00813081" w:rsidRDefault="00813081" w:rsidP="00813081">
            <w:pPr>
              <w:pStyle w:val="NormalWeb"/>
              <w:spacing w:before="0" w:beforeAutospacing="0" w:after="0" w:afterAutospacing="0"/>
              <w:ind w:left="144"/>
              <w:rPr>
                <w:rFonts w:ascii="Palatino Linotype" w:hAnsi="Palatino Linotype" w:cs="Arial"/>
                <w:b/>
                <w:i/>
                <w:sz w:val="20"/>
                <w:szCs w:val="20"/>
              </w:rPr>
            </w:pPr>
            <w:r w:rsidRPr="00813081">
              <w:rPr>
                <w:rFonts w:ascii="Palatino Linotype" w:hAnsi="Palatino Linotype" w:cs="Arial"/>
                <w:b/>
                <w:i/>
                <w:sz w:val="20"/>
                <w:szCs w:val="20"/>
              </w:rPr>
              <w:t xml:space="preserve">National Endowment for the </w:t>
            </w:r>
            <w:r>
              <w:rPr>
                <w:rFonts w:ascii="Palatino Linotype" w:hAnsi="Palatino Linotype" w:cs="Arial"/>
                <w:b/>
                <w:i/>
                <w:sz w:val="20"/>
                <w:szCs w:val="20"/>
              </w:rPr>
              <w:t>Arts</w:t>
            </w:r>
          </w:p>
          <w:p w:rsidR="00813081" w:rsidRPr="00813081" w:rsidRDefault="00813081" w:rsidP="00813081">
            <w:pPr>
              <w:pStyle w:val="NormalWeb"/>
              <w:spacing w:before="0" w:beforeAutospacing="0" w:after="0" w:afterAutospacing="0"/>
              <w:ind w:left="144"/>
              <w:rPr>
                <w:rFonts w:ascii="Palatino Linotype" w:hAnsi="Palatino Linotype" w:cs="Arial"/>
                <w:b/>
                <w:i/>
                <w:sz w:val="20"/>
                <w:szCs w:val="20"/>
              </w:rPr>
            </w:pPr>
            <w:r w:rsidRPr="00813081">
              <w:rPr>
                <w:rFonts w:ascii="Palatino Linotype" w:hAnsi="Palatino Linotype" w:cs="Arial"/>
                <w:sz w:val="20"/>
                <w:szCs w:val="20"/>
                <w:shd w:val="clear" w:color="auto" w:fill="FFFFFF"/>
              </w:rPr>
              <w:t>The Big Read is a program of the National Endowment for the Arts (NEA) designed to restore reading to the center of American culture. The Big Read provides organizations with grants and comprehensive resources that support their efforts to inspire their community to read and discuss a single book or the work of a poet.</w:t>
            </w:r>
          </w:p>
          <w:p w:rsidR="00813081" w:rsidRDefault="00813081" w:rsidP="00813081">
            <w:pPr>
              <w:pStyle w:val="NormalWeb"/>
              <w:spacing w:before="0" w:beforeAutospacing="0" w:after="0" w:afterAutospacing="0"/>
              <w:ind w:left="144"/>
              <w:rPr>
                <w:rFonts w:ascii="Palatino Linotype" w:hAnsi="Palatino Linotype" w:cs="Arial"/>
                <w:sz w:val="20"/>
                <w:szCs w:val="20"/>
                <w:shd w:val="clear" w:color="auto" w:fill="FFFFFF"/>
              </w:rPr>
            </w:pPr>
            <w:r w:rsidRPr="00813081">
              <w:rPr>
                <w:rFonts w:ascii="Palatino Linotype" w:hAnsi="Palatino Linotype" w:cs="Arial"/>
                <w:sz w:val="20"/>
                <w:szCs w:val="20"/>
                <w:shd w:val="clear" w:color="auto" w:fill="FFFFFF"/>
              </w:rPr>
              <w:t xml:space="preserve">Proposals are due by January 27, 2019. For more information visit </w:t>
            </w:r>
            <w:hyperlink r:id="rId18" w:history="1">
              <w:r w:rsidRPr="00813081">
                <w:rPr>
                  <w:rStyle w:val="Hyperlink"/>
                  <w:rFonts w:ascii="Palatino Linotype" w:hAnsi="Palatino Linotype" w:cs="Arial"/>
                  <w:sz w:val="20"/>
                  <w:szCs w:val="20"/>
                  <w:shd w:val="clear" w:color="auto" w:fill="FFFFFF"/>
                </w:rPr>
                <w:t>neabigread.org.</w:t>
              </w:r>
            </w:hyperlink>
          </w:p>
          <w:p w:rsidR="00813081" w:rsidRPr="008904E2" w:rsidRDefault="00813081" w:rsidP="00813081">
            <w:pPr>
              <w:pStyle w:val="NormalWeb"/>
              <w:spacing w:before="0" w:beforeAutospacing="0" w:after="0" w:afterAutospacing="0"/>
              <w:ind w:left="144"/>
              <w:rPr>
                <w:rFonts w:ascii="Palatino Linotype" w:hAnsi="Palatino Linotype" w:cs="Arial"/>
                <w:b/>
                <w:i/>
                <w:sz w:val="20"/>
                <w:szCs w:val="20"/>
              </w:rPr>
            </w:pPr>
          </w:p>
          <w:p w:rsidR="00813081" w:rsidRDefault="00813081" w:rsidP="00813081">
            <w:pPr>
              <w:pStyle w:val="NormalWeb"/>
              <w:spacing w:before="0" w:beforeAutospacing="0" w:after="0" w:afterAutospacing="0"/>
              <w:ind w:left="144"/>
              <w:rPr>
                <w:rFonts w:ascii="Palatino Linotype" w:hAnsi="Palatino Linotype" w:cs="Arial"/>
                <w:b/>
                <w:sz w:val="20"/>
                <w:szCs w:val="20"/>
                <w:u w:val="single"/>
                <w:shd w:val="clear" w:color="auto" w:fill="FFFFFF"/>
              </w:rPr>
            </w:pPr>
            <w:bookmarkStart w:id="4" w:name="CC"/>
            <w:r w:rsidRPr="00813081">
              <w:rPr>
                <w:rFonts w:ascii="Palatino Linotype" w:hAnsi="Palatino Linotype" w:cs="Arial"/>
                <w:b/>
                <w:sz w:val="20"/>
                <w:szCs w:val="20"/>
                <w:u w:val="single"/>
                <w:shd w:val="clear" w:color="auto" w:fill="FFFFFF"/>
              </w:rPr>
              <w:t>Cultivating Cultures for Ethical STEM</w:t>
            </w:r>
          </w:p>
          <w:bookmarkEnd w:id="4"/>
          <w:p w:rsidR="00813081" w:rsidRDefault="00813081" w:rsidP="00813081">
            <w:pPr>
              <w:pStyle w:val="NormalWeb"/>
              <w:spacing w:before="0" w:beforeAutospacing="0" w:after="0" w:afterAutospacing="0"/>
              <w:ind w:left="144"/>
              <w:rPr>
                <w:rFonts w:ascii="Palatino Linotype" w:hAnsi="Palatino Linotype" w:cs="Arial"/>
                <w:b/>
                <w:i/>
                <w:sz w:val="20"/>
                <w:szCs w:val="20"/>
              </w:rPr>
            </w:pPr>
            <w:r w:rsidRPr="00813081">
              <w:rPr>
                <w:rFonts w:ascii="Palatino Linotype" w:hAnsi="Palatino Linotype" w:cs="Arial"/>
                <w:b/>
                <w:i/>
                <w:sz w:val="20"/>
                <w:szCs w:val="20"/>
              </w:rPr>
              <w:t>National Science Foundation (NSF)</w:t>
            </w:r>
          </w:p>
          <w:p w:rsidR="00DA13EB" w:rsidRDefault="00813081" w:rsidP="00813081">
            <w:pPr>
              <w:pStyle w:val="NormalWeb"/>
              <w:spacing w:before="0" w:beforeAutospacing="0" w:after="0" w:afterAutospacing="0"/>
              <w:ind w:left="144"/>
              <w:rPr>
                <w:rStyle w:val="Hyperlink"/>
                <w:rFonts w:ascii="Palatino Linotype" w:hAnsi="Palatino Linotype" w:cs="Arial"/>
                <w:sz w:val="20"/>
                <w:szCs w:val="20"/>
                <w:shd w:val="clear" w:color="auto" w:fill="FFFFFF"/>
              </w:rPr>
            </w:pPr>
            <w:r w:rsidRPr="00813081">
              <w:rPr>
                <w:rFonts w:ascii="Palatino Linotype" w:hAnsi="Palatino Linotype" w:cs="Arial"/>
                <w:sz w:val="20"/>
                <w:szCs w:val="20"/>
                <w:shd w:val="clear" w:color="auto" w:fill="FFFFFF"/>
              </w:rPr>
              <w:t xml:space="preserve">This program funds research projects that identify factors that are efficacious in the formation of ethical STEM researchers in all the fields of science and </w:t>
            </w:r>
            <w:r w:rsidRPr="00813081">
              <w:rPr>
                <w:rFonts w:ascii="Palatino Linotype" w:hAnsi="Palatino Linotype" w:cs="Arial"/>
                <w:sz w:val="20"/>
                <w:szCs w:val="20"/>
                <w:shd w:val="clear" w:color="auto" w:fill="FFFFFF"/>
              </w:rPr>
              <w:lastRenderedPageBreak/>
              <w:t xml:space="preserve">engineering that NSF supports. CCE STEM solicits proposals for research that explores the following: ‘What constitutes ethical STEM research and practice, and which cultural and institutional contexts promote ethical STEM </w:t>
            </w:r>
            <w:r>
              <w:rPr>
                <w:rFonts w:ascii="Palatino Linotype" w:hAnsi="Palatino Linotype" w:cs="Arial"/>
                <w:sz w:val="20"/>
                <w:szCs w:val="20"/>
                <w:shd w:val="clear" w:color="auto" w:fill="FFFFFF"/>
              </w:rPr>
              <w:t xml:space="preserve">research and practice and why?' </w:t>
            </w:r>
            <w:r w:rsidR="004F7EB5">
              <w:rPr>
                <w:rFonts w:ascii="Palatino Linotype" w:hAnsi="Palatino Linotype" w:cs="Arial"/>
                <w:sz w:val="20"/>
                <w:szCs w:val="20"/>
                <w:shd w:val="clear" w:color="auto" w:fill="FFFFFF"/>
              </w:rPr>
              <w:br/>
            </w:r>
            <w:r w:rsidRPr="00813081">
              <w:rPr>
                <w:rFonts w:ascii="Palatino Linotype" w:hAnsi="Palatino Linotype" w:cs="Arial"/>
                <w:sz w:val="20"/>
                <w:szCs w:val="20"/>
                <w:shd w:val="clear" w:color="auto" w:fill="FFFFFF"/>
              </w:rPr>
              <w:t xml:space="preserve">The deadline for applications is February 15, 2019. For more information visit </w:t>
            </w:r>
            <w:hyperlink r:id="rId19" w:history="1">
              <w:r w:rsidRPr="00813081">
                <w:rPr>
                  <w:rStyle w:val="Hyperlink"/>
                  <w:rFonts w:ascii="Palatino Linotype" w:hAnsi="Palatino Linotype" w:cs="Arial"/>
                  <w:sz w:val="20"/>
                  <w:szCs w:val="20"/>
                  <w:shd w:val="clear" w:color="auto" w:fill="FFFFFF"/>
                </w:rPr>
                <w:t>nsf.gov.</w:t>
              </w:r>
            </w:hyperlink>
          </w:p>
          <w:p w:rsidR="00356BE7" w:rsidRDefault="00356BE7" w:rsidP="00813081">
            <w:pPr>
              <w:pStyle w:val="NormalWeb"/>
              <w:spacing w:before="0" w:beforeAutospacing="0" w:after="0" w:afterAutospacing="0"/>
              <w:ind w:left="144"/>
              <w:rPr>
                <w:rFonts w:ascii="Palatino Linotype" w:hAnsi="Palatino Linotype" w:cs="Arial"/>
                <w:sz w:val="20"/>
                <w:szCs w:val="20"/>
                <w:shd w:val="clear" w:color="auto" w:fill="FFFFFF"/>
              </w:rPr>
            </w:pPr>
          </w:p>
          <w:p w:rsidR="00356BE7" w:rsidRPr="00E06FE4" w:rsidRDefault="00356BE7" w:rsidP="00356BE7">
            <w:pPr>
              <w:pStyle w:val="NormalWeb"/>
              <w:shd w:val="clear" w:color="auto" w:fill="FFFFFF"/>
              <w:spacing w:before="0" w:beforeAutospacing="0" w:after="0" w:afterAutospacing="0"/>
              <w:ind w:left="144"/>
              <w:textAlignment w:val="baseline"/>
              <w:rPr>
                <w:rFonts w:ascii="Palatino Linotype" w:hAnsi="Palatino Linotype"/>
                <w:b/>
                <w:sz w:val="20"/>
                <w:szCs w:val="20"/>
                <w:u w:val="single"/>
                <w:shd w:val="clear" w:color="auto" w:fill="FFFFFF"/>
              </w:rPr>
            </w:pPr>
            <w:bookmarkStart w:id="5" w:name="SCHC"/>
            <w:r>
              <w:rPr>
                <w:rFonts w:ascii="Palatino Linotype" w:hAnsi="Palatino Linotype"/>
                <w:b/>
                <w:sz w:val="20"/>
                <w:szCs w:val="20"/>
                <w:u w:val="single"/>
                <w:shd w:val="clear" w:color="auto" w:fill="FFFFFF"/>
              </w:rPr>
              <w:t>Sustaining Cultural Heritage Collections</w:t>
            </w:r>
          </w:p>
          <w:bookmarkEnd w:id="5"/>
          <w:p w:rsidR="00356BE7" w:rsidRPr="00E06FE4" w:rsidRDefault="00356BE7" w:rsidP="00356BE7">
            <w:pPr>
              <w:pStyle w:val="NormalWeb"/>
              <w:shd w:val="clear" w:color="auto" w:fill="FFFFFF"/>
              <w:spacing w:before="0" w:beforeAutospacing="0" w:after="0" w:afterAutospacing="0"/>
              <w:ind w:left="144"/>
              <w:textAlignment w:val="baseline"/>
              <w:rPr>
                <w:rFonts w:ascii="Palatino Linotype" w:hAnsi="Palatino Linotype"/>
                <w:b/>
                <w:i/>
                <w:sz w:val="20"/>
                <w:szCs w:val="20"/>
                <w:shd w:val="clear" w:color="auto" w:fill="FFFFFF"/>
              </w:rPr>
            </w:pPr>
            <w:r w:rsidRPr="00E06FE4">
              <w:rPr>
                <w:rFonts w:ascii="Palatino Linotype" w:hAnsi="Palatino Linotype"/>
                <w:b/>
                <w:i/>
                <w:sz w:val="20"/>
                <w:szCs w:val="20"/>
                <w:shd w:val="clear" w:color="auto" w:fill="FFFFFF"/>
              </w:rPr>
              <w:t xml:space="preserve">National </w:t>
            </w:r>
            <w:r>
              <w:rPr>
                <w:rFonts w:ascii="Palatino Linotype" w:hAnsi="Palatino Linotype"/>
                <w:b/>
                <w:i/>
                <w:sz w:val="20"/>
                <w:szCs w:val="20"/>
                <w:shd w:val="clear" w:color="auto" w:fill="FFFFFF"/>
              </w:rPr>
              <w:t>Endowment For The Humanities (NE</w:t>
            </w:r>
            <w:r w:rsidRPr="00E06FE4">
              <w:rPr>
                <w:rFonts w:ascii="Palatino Linotype" w:hAnsi="Palatino Linotype"/>
                <w:b/>
                <w:i/>
                <w:sz w:val="20"/>
                <w:szCs w:val="20"/>
                <w:shd w:val="clear" w:color="auto" w:fill="FFFFFF"/>
              </w:rPr>
              <w:t>H)</w:t>
            </w:r>
          </w:p>
          <w:p w:rsidR="00356BE7" w:rsidRDefault="00356BE7" w:rsidP="00356BE7">
            <w:pPr>
              <w:pStyle w:val="NormalWeb"/>
              <w:shd w:val="clear" w:color="auto" w:fill="FFFFFF"/>
              <w:spacing w:before="0" w:beforeAutospacing="0" w:after="0" w:afterAutospacing="0"/>
              <w:ind w:left="144"/>
              <w:textAlignment w:val="baseline"/>
              <w:rPr>
                <w:rFonts w:ascii="Palatino Linotype" w:hAnsi="Palatino Linotype"/>
                <w:sz w:val="20"/>
                <w:szCs w:val="20"/>
                <w:shd w:val="clear" w:color="auto" w:fill="FFFFFF"/>
              </w:rPr>
            </w:pPr>
            <w:r w:rsidRPr="00CD73D8">
              <w:rPr>
                <w:rFonts w:ascii="Palatino Linotype" w:hAnsi="Palatino Linotype"/>
                <w:sz w:val="20"/>
                <w:szCs w:val="20"/>
                <w:shd w:val="clear" w:color="auto" w:fill="FFFFFF"/>
              </w:rPr>
              <w:t>The Sustaining Cultural Heritage Collections (SCHC) program helps cultural institutions meet the complex challenge of preserving large and diverse holdings of humanities materials for future generations by supporting sustainable conservation measures that mitigate deterioration, prolong the useful life of collections, and support institutional resilience: the ability to anticipate and respond to natural and man-made disasters.</w:t>
            </w:r>
            <w:r>
              <w:rPr>
                <w:rFonts w:ascii="Palatino Linotype" w:hAnsi="Palatino Linotype"/>
                <w:sz w:val="20"/>
                <w:szCs w:val="20"/>
                <w:shd w:val="clear" w:color="auto" w:fill="FFFFFF"/>
              </w:rPr>
              <w:t xml:space="preserve"> </w:t>
            </w:r>
          </w:p>
          <w:p w:rsidR="00356BE7" w:rsidRPr="00E06FE4" w:rsidRDefault="004F7EB5" w:rsidP="00356BE7">
            <w:pPr>
              <w:pStyle w:val="NormalWeb"/>
              <w:shd w:val="clear" w:color="auto" w:fill="FFFFFF"/>
              <w:spacing w:before="0" w:beforeAutospacing="0" w:after="0" w:afterAutospacing="0"/>
              <w:ind w:left="144"/>
              <w:textAlignment w:val="baseline"/>
              <w:rPr>
                <w:rFonts w:ascii="Palatino Linotype" w:hAnsi="Palatino Linotype"/>
                <w:color w:val="333333"/>
                <w:sz w:val="20"/>
                <w:szCs w:val="20"/>
                <w:shd w:val="clear" w:color="auto" w:fill="FFFFFF"/>
              </w:rPr>
            </w:pPr>
            <w:r>
              <w:rPr>
                <w:rFonts w:ascii="Palatino Linotype" w:hAnsi="Palatino Linotype"/>
                <w:sz w:val="20"/>
                <w:szCs w:val="20"/>
                <w:shd w:val="clear" w:color="auto" w:fill="FFFFFF"/>
              </w:rPr>
              <w:t xml:space="preserve">Updated Deadline: Proposals are </w:t>
            </w:r>
            <w:r w:rsidR="00356BE7">
              <w:rPr>
                <w:rFonts w:ascii="Palatino Linotype" w:hAnsi="Palatino Linotype"/>
                <w:sz w:val="20"/>
                <w:szCs w:val="20"/>
                <w:shd w:val="clear" w:color="auto" w:fill="FFFFFF"/>
              </w:rPr>
              <w:t>due January 31, 2019</w:t>
            </w:r>
            <w:r w:rsidR="00356BE7" w:rsidRPr="00E06FE4">
              <w:rPr>
                <w:rFonts w:ascii="Palatino Linotype" w:hAnsi="Palatino Linotype"/>
                <w:sz w:val="20"/>
                <w:szCs w:val="20"/>
                <w:shd w:val="clear" w:color="auto" w:fill="FFFFFF"/>
              </w:rPr>
              <w:t xml:space="preserve">. For more information visit </w:t>
            </w:r>
            <w:hyperlink r:id="rId20" w:history="1">
              <w:r w:rsidR="00356BE7">
                <w:rPr>
                  <w:rStyle w:val="Hyperlink"/>
                  <w:rFonts w:ascii="Palatino Linotype" w:hAnsi="Palatino Linotype"/>
                  <w:sz w:val="20"/>
                  <w:szCs w:val="20"/>
                  <w:shd w:val="clear" w:color="auto" w:fill="FFFFFF"/>
                </w:rPr>
                <w:t>ne</w:t>
              </w:r>
              <w:r w:rsidR="00356BE7" w:rsidRPr="00E06FE4">
                <w:rPr>
                  <w:rStyle w:val="Hyperlink"/>
                  <w:rFonts w:ascii="Palatino Linotype" w:hAnsi="Palatino Linotype"/>
                  <w:sz w:val="20"/>
                  <w:szCs w:val="20"/>
                  <w:shd w:val="clear" w:color="auto" w:fill="FFFFFF"/>
                </w:rPr>
                <w:t>h.gov</w:t>
              </w:r>
            </w:hyperlink>
            <w:r w:rsidR="00356BE7" w:rsidRPr="00E06FE4">
              <w:rPr>
                <w:rFonts w:ascii="Palatino Linotype" w:hAnsi="Palatino Linotype"/>
                <w:color w:val="333333"/>
                <w:sz w:val="20"/>
                <w:szCs w:val="20"/>
                <w:shd w:val="clear" w:color="auto" w:fill="FFFFFF"/>
              </w:rPr>
              <w:t>.</w:t>
            </w:r>
          </w:p>
          <w:p w:rsidR="00813081" w:rsidRDefault="00813081" w:rsidP="00813081">
            <w:pPr>
              <w:pStyle w:val="NormalWeb"/>
              <w:spacing w:before="0" w:beforeAutospacing="0" w:after="0" w:afterAutospacing="0"/>
              <w:ind w:left="144"/>
              <w:rPr>
                <w:rFonts w:ascii="Palatino Linotype" w:hAnsi="Palatino Linotype" w:cs="Arial"/>
                <w:sz w:val="20"/>
                <w:szCs w:val="20"/>
                <w:shd w:val="clear" w:color="auto" w:fill="FFFFFF"/>
              </w:rPr>
            </w:pPr>
          </w:p>
          <w:p w:rsidR="00813081" w:rsidRDefault="00813081" w:rsidP="00813081">
            <w:pPr>
              <w:pStyle w:val="NormalWeb"/>
              <w:spacing w:before="0" w:beforeAutospacing="0" w:after="0" w:afterAutospacing="0"/>
              <w:ind w:left="144"/>
              <w:rPr>
                <w:rFonts w:ascii="Palatino Linotype" w:hAnsi="Palatino Linotype" w:cs="Arial"/>
                <w:b/>
                <w:sz w:val="20"/>
                <w:szCs w:val="20"/>
                <w:u w:val="single"/>
                <w:shd w:val="clear" w:color="auto" w:fill="FFFFFF"/>
              </w:rPr>
            </w:pPr>
            <w:bookmarkStart w:id="6" w:name="PAC"/>
            <w:r w:rsidRPr="00813081">
              <w:rPr>
                <w:rFonts w:ascii="Palatino Linotype" w:hAnsi="Palatino Linotype" w:cs="Arial"/>
                <w:b/>
                <w:sz w:val="20"/>
                <w:szCs w:val="20"/>
                <w:u w:val="single"/>
                <w:shd w:val="clear" w:color="auto" w:fill="FFFFFF"/>
              </w:rPr>
              <w:t>Perception, Action &amp; Cognition (PAC)</w:t>
            </w:r>
          </w:p>
          <w:bookmarkEnd w:id="6"/>
          <w:p w:rsidR="00813081" w:rsidRDefault="00813081" w:rsidP="00813081">
            <w:pPr>
              <w:pStyle w:val="NormalWeb"/>
              <w:spacing w:before="0" w:beforeAutospacing="0" w:after="0" w:afterAutospacing="0"/>
              <w:ind w:left="144"/>
              <w:rPr>
                <w:rFonts w:ascii="Palatino Linotype" w:hAnsi="Palatino Linotype" w:cs="Arial"/>
                <w:b/>
                <w:i/>
                <w:sz w:val="20"/>
                <w:szCs w:val="20"/>
              </w:rPr>
            </w:pPr>
            <w:r w:rsidRPr="00813081">
              <w:rPr>
                <w:rFonts w:ascii="Palatino Linotype" w:hAnsi="Palatino Linotype" w:cs="Arial"/>
                <w:b/>
                <w:i/>
                <w:sz w:val="20"/>
                <w:szCs w:val="20"/>
              </w:rPr>
              <w:t>National Science Foundation (NSF)</w:t>
            </w:r>
          </w:p>
          <w:p w:rsidR="00813081" w:rsidRDefault="00813081" w:rsidP="00813081">
            <w:pPr>
              <w:pStyle w:val="NormalWeb"/>
              <w:spacing w:before="0" w:beforeAutospacing="0" w:after="0" w:afterAutospacing="0"/>
              <w:ind w:left="144"/>
              <w:rPr>
                <w:rFonts w:ascii="Palatino Linotype" w:hAnsi="Palatino Linotype" w:cs="Arial"/>
                <w:sz w:val="20"/>
                <w:szCs w:val="20"/>
                <w:shd w:val="clear" w:color="auto" w:fill="FFFFFF"/>
              </w:rPr>
            </w:pPr>
            <w:r w:rsidRPr="00813081">
              <w:rPr>
                <w:rFonts w:ascii="Palatino Linotype" w:hAnsi="Palatino Linotype" w:cs="Arial"/>
                <w:sz w:val="20"/>
                <w:szCs w:val="20"/>
                <w:shd w:val="clear" w:color="auto" w:fill="FFFFFF"/>
              </w:rPr>
              <w:t>The PAC program funds theoretically motivated research on a wide-range of topic areas focused on typical human behavior. The aim is to enhance the fundamental understanding of perceptual, motor, and cognitive processes and their interactions. Central research topics for consideration by the program include (but are not limited to) vision, audition, haptics, attention, memory, reasoning, written and spoken language, motor control, categorization, and spatial cog</w:t>
            </w:r>
            <w:r>
              <w:rPr>
                <w:rFonts w:ascii="Palatino Linotype" w:hAnsi="Palatino Linotype" w:cs="Arial"/>
                <w:sz w:val="20"/>
                <w:szCs w:val="20"/>
                <w:shd w:val="clear" w:color="auto" w:fill="FFFFFF"/>
              </w:rPr>
              <w:t xml:space="preserve">nition. </w:t>
            </w:r>
            <w:r w:rsidR="004F7EB5">
              <w:rPr>
                <w:rFonts w:ascii="Palatino Linotype" w:hAnsi="Palatino Linotype" w:cs="Arial"/>
                <w:sz w:val="20"/>
                <w:szCs w:val="20"/>
                <w:shd w:val="clear" w:color="auto" w:fill="FFFFFF"/>
              </w:rPr>
              <w:br/>
            </w:r>
            <w:r w:rsidRPr="00813081">
              <w:rPr>
                <w:rFonts w:ascii="Palatino Linotype" w:hAnsi="Palatino Linotype" w:cs="Arial"/>
                <w:sz w:val="20"/>
                <w:szCs w:val="20"/>
                <w:shd w:val="clear" w:color="auto" w:fill="FFFFFF"/>
              </w:rPr>
              <w:t xml:space="preserve">Proposals are due by February 01, 2019. For more information visit </w:t>
            </w:r>
            <w:hyperlink r:id="rId21" w:history="1">
              <w:r w:rsidRPr="00813081">
                <w:rPr>
                  <w:rStyle w:val="Hyperlink"/>
                  <w:rFonts w:ascii="Palatino Linotype" w:hAnsi="Palatino Linotype" w:cs="Arial"/>
                  <w:sz w:val="20"/>
                  <w:szCs w:val="20"/>
                  <w:shd w:val="clear" w:color="auto" w:fill="FFFFFF"/>
                </w:rPr>
                <w:t>nsf.gov.</w:t>
              </w:r>
            </w:hyperlink>
            <w:r w:rsidRPr="00813081">
              <w:rPr>
                <w:rFonts w:ascii="Palatino Linotype" w:hAnsi="Palatino Linotype" w:cs="Arial"/>
                <w:sz w:val="20"/>
                <w:szCs w:val="20"/>
                <w:shd w:val="clear" w:color="auto" w:fill="FFFFFF"/>
              </w:rPr>
              <w:t xml:space="preserve"> </w:t>
            </w:r>
          </w:p>
          <w:p w:rsidR="00AF3402" w:rsidRPr="00813081" w:rsidRDefault="00AF3402" w:rsidP="00813081">
            <w:pPr>
              <w:pStyle w:val="NormalWeb"/>
              <w:spacing w:before="0" w:beforeAutospacing="0" w:after="0" w:afterAutospacing="0"/>
              <w:ind w:left="144"/>
              <w:rPr>
                <w:rFonts w:ascii="Palatino Linotype" w:hAnsi="Palatino Linotype" w:cs="Arial"/>
                <w:b/>
                <w:i/>
                <w:sz w:val="20"/>
                <w:szCs w:val="20"/>
              </w:rPr>
            </w:pPr>
          </w:p>
          <w:p w:rsidR="00B14848" w:rsidRPr="009B1E6F" w:rsidRDefault="00B14848" w:rsidP="00B14848">
            <w:pPr>
              <w:shd w:val="clear" w:color="auto" w:fill="FFFFFF"/>
              <w:ind w:left="144"/>
              <w:contextualSpacing/>
              <w:rPr>
                <w:rFonts w:ascii="Palatino Linotype" w:hAnsi="Palatino Linotype"/>
                <w:b/>
                <w:sz w:val="20"/>
                <w:szCs w:val="20"/>
                <w:u w:val="single"/>
              </w:rPr>
            </w:pPr>
            <w:bookmarkStart w:id="7" w:name="IG"/>
            <w:r w:rsidRPr="009B1E6F">
              <w:rPr>
                <w:rFonts w:ascii="Palatino Linotype" w:hAnsi="Palatino Linotype"/>
                <w:b/>
                <w:sz w:val="20"/>
                <w:szCs w:val="20"/>
                <w:u w:val="single"/>
              </w:rPr>
              <w:t>Institutional Grants</w:t>
            </w:r>
          </w:p>
          <w:bookmarkEnd w:id="7"/>
          <w:p w:rsidR="00B14848" w:rsidRPr="009B1E6F" w:rsidRDefault="00B14848" w:rsidP="00B14848">
            <w:pPr>
              <w:shd w:val="clear" w:color="auto" w:fill="FFFFFF"/>
              <w:ind w:left="144"/>
              <w:contextualSpacing/>
              <w:rPr>
                <w:rFonts w:ascii="Palatino Linotype" w:hAnsi="Palatino Linotype"/>
                <w:b/>
                <w:i/>
                <w:sz w:val="20"/>
                <w:szCs w:val="20"/>
              </w:rPr>
            </w:pPr>
            <w:r w:rsidRPr="009B1E6F">
              <w:rPr>
                <w:rFonts w:ascii="Palatino Linotype" w:hAnsi="Palatino Linotype"/>
                <w:b/>
                <w:i/>
                <w:sz w:val="20"/>
                <w:szCs w:val="20"/>
              </w:rPr>
              <w:t>Tinker Foundation</w:t>
            </w:r>
          </w:p>
          <w:p w:rsidR="00B14848" w:rsidRPr="009B1E6F" w:rsidRDefault="00B14848" w:rsidP="00B14848">
            <w:pPr>
              <w:shd w:val="clear" w:color="auto" w:fill="FFFFFF"/>
              <w:ind w:left="144"/>
              <w:contextualSpacing/>
              <w:rPr>
                <w:rFonts w:ascii="Palatino Linotype" w:hAnsi="Palatino Linotype" w:cs="Arial"/>
                <w:sz w:val="20"/>
                <w:szCs w:val="20"/>
              </w:rPr>
            </w:pPr>
            <w:r w:rsidRPr="009B1E6F">
              <w:rPr>
                <w:rFonts w:ascii="Palatino Linotype" w:hAnsi="Palatino Linotype"/>
                <w:sz w:val="20"/>
                <w:szCs w:val="20"/>
              </w:rPr>
              <w:t xml:space="preserve">This program supports </w:t>
            </w:r>
            <w:r w:rsidRPr="009B1E6F">
              <w:rPr>
                <w:rFonts w:ascii="Palatino Linotype" w:hAnsi="Palatino Linotype" w:cs="Arial"/>
                <w:sz w:val="20"/>
                <w:szCs w:val="20"/>
              </w:rPr>
              <w:t>conferences, workshops, and research projects that address Democratic Governance, Education, and Sustainable Resource Management. The foundation encourages collaboration among organizations in the U.S., Latin America, Spain, and Portugal. Letters of intent are strongly encouraged before the annual deadlines.</w:t>
            </w:r>
          </w:p>
          <w:p w:rsidR="00813081" w:rsidRPr="00B14848" w:rsidRDefault="00B14848" w:rsidP="00B14848">
            <w:pPr>
              <w:shd w:val="clear" w:color="auto" w:fill="FFFFFF"/>
              <w:ind w:left="144"/>
              <w:contextualSpacing/>
              <w:rPr>
                <w:rFonts w:ascii="Palatino Linotype" w:hAnsi="Palatino Linotype"/>
                <w:color w:val="333333"/>
                <w:sz w:val="20"/>
                <w:szCs w:val="20"/>
              </w:rPr>
            </w:pPr>
            <w:r w:rsidRPr="009B1E6F">
              <w:rPr>
                <w:rFonts w:ascii="Palatino Linotype" w:hAnsi="Palatino Linotype" w:cs="Arial"/>
                <w:sz w:val="20"/>
                <w:szCs w:val="20"/>
              </w:rPr>
              <w:t>The next deadline for proposals is March 01</w:t>
            </w:r>
            <w:r>
              <w:rPr>
                <w:rFonts w:ascii="Palatino Linotype" w:hAnsi="Palatino Linotype" w:cs="Arial"/>
                <w:sz w:val="20"/>
                <w:szCs w:val="20"/>
              </w:rPr>
              <w:t>, 2019</w:t>
            </w:r>
            <w:r w:rsidRPr="009B1E6F">
              <w:rPr>
                <w:rFonts w:ascii="Palatino Linotype" w:hAnsi="Palatino Linotype" w:cs="Arial"/>
                <w:sz w:val="20"/>
                <w:szCs w:val="20"/>
              </w:rPr>
              <w:t xml:space="preserve">. For more information visit </w:t>
            </w:r>
            <w:hyperlink r:id="rId22" w:tgtFrame="_blank" w:history="1">
              <w:r>
                <w:rPr>
                  <w:rStyle w:val="Hyperlink"/>
                  <w:rFonts w:ascii="Palatino Linotype" w:hAnsi="Palatino Linotype" w:cs="Arial"/>
                  <w:color w:val="428BCA"/>
                  <w:sz w:val="20"/>
                  <w:szCs w:val="20"/>
                </w:rPr>
                <w:t>tinker.org</w:t>
              </w:r>
            </w:hyperlink>
            <w:r w:rsidRPr="004F3CA6">
              <w:rPr>
                <w:rStyle w:val="Hyperlink"/>
                <w:rFonts w:ascii="Palatino Linotype" w:hAnsi="Palatino Linotype" w:cs="Arial"/>
                <w:color w:val="428BCA"/>
                <w:sz w:val="20"/>
                <w:szCs w:val="20"/>
              </w:rPr>
              <w:t>.</w:t>
            </w:r>
          </w:p>
          <w:p w:rsidR="00813081" w:rsidRDefault="00813081" w:rsidP="00813081">
            <w:pPr>
              <w:pStyle w:val="NormalWeb"/>
              <w:spacing w:before="0" w:beforeAutospacing="0" w:after="0" w:afterAutospacing="0"/>
              <w:ind w:left="144"/>
              <w:rPr>
                <w:rFonts w:ascii="Palatino Linotype" w:hAnsi="Palatino Linotype" w:cs="Arial"/>
                <w:b/>
                <w:sz w:val="20"/>
                <w:szCs w:val="20"/>
                <w:u w:val="single"/>
                <w:shd w:val="clear" w:color="auto" w:fill="FFFFFF"/>
              </w:rPr>
            </w:pPr>
            <w:bookmarkStart w:id="8" w:name="STS"/>
            <w:r w:rsidRPr="00813081">
              <w:rPr>
                <w:rFonts w:ascii="Palatino Linotype" w:hAnsi="Palatino Linotype" w:cs="Arial"/>
                <w:b/>
                <w:sz w:val="20"/>
                <w:szCs w:val="20"/>
                <w:u w:val="single"/>
                <w:shd w:val="clear" w:color="auto" w:fill="FFFFFF"/>
              </w:rPr>
              <w:t>Science, Technology, and Society (STS)</w:t>
            </w:r>
          </w:p>
          <w:bookmarkEnd w:id="8"/>
          <w:p w:rsidR="00813081" w:rsidRDefault="00813081" w:rsidP="00813081">
            <w:pPr>
              <w:pStyle w:val="NormalWeb"/>
              <w:spacing w:before="0" w:beforeAutospacing="0" w:after="0" w:afterAutospacing="0"/>
              <w:ind w:left="144"/>
              <w:rPr>
                <w:rFonts w:ascii="Palatino Linotype" w:hAnsi="Palatino Linotype" w:cs="Arial"/>
                <w:b/>
                <w:i/>
                <w:sz w:val="20"/>
                <w:szCs w:val="20"/>
              </w:rPr>
            </w:pPr>
            <w:r w:rsidRPr="00813081">
              <w:rPr>
                <w:rFonts w:ascii="Palatino Linotype" w:hAnsi="Palatino Linotype" w:cs="Arial"/>
                <w:b/>
                <w:i/>
                <w:sz w:val="20"/>
                <w:szCs w:val="20"/>
              </w:rPr>
              <w:t>National Science Foundation (NSF)</w:t>
            </w:r>
          </w:p>
          <w:p w:rsidR="00813081" w:rsidRDefault="00813081" w:rsidP="00813081">
            <w:pPr>
              <w:pStyle w:val="NormalWeb"/>
              <w:spacing w:before="0" w:beforeAutospacing="0" w:after="0" w:afterAutospacing="0"/>
              <w:ind w:left="144"/>
              <w:rPr>
                <w:rStyle w:val="Hyperlink"/>
                <w:rFonts w:ascii="Palatino Linotype" w:hAnsi="Palatino Linotype" w:cs="Arial"/>
                <w:sz w:val="20"/>
                <w:szCs w:val="20"/>
                <w:shd w:val="clear" w:color="auto" w:fill="FFFFFF"/>
              </w:rPr>
            </w:pPr>
            <w:r w:rsidRPr="00813081">
              <w:rPr>
                <w:rFonts w:ascii="Palatino Linotype" w:hAnsi="Palatino Linotype" w:cs="Arial"/>
                <w:sz w:val="20"/>
                <w:szCs w:val="20"/>
                <w:shd w:val="clear" w:color="auto" w:fill="FFFFFF"/>
              </w:rPr>
              <w:t>The STS program supports research that uses historical, philosophical, and social scientific methods to investigate the intellectual, material, and social facets of the scientific, technological, engineering and mathematical (STEM) disciplines. It encompasses a broad spectrum of STS topics including interdisciplinary studies of ethics, equity, governance, and policy issues that are closely related to STEM discipli</w:t>
            </w:r>
            <w:r>
              <w:rPr>
                <w:rFonts w:ascii="Palatino Linotype" w:hAnsi="Palatino Linotype" w:cs="Arial"/>
                <w:sz w:val="20"/>
                <w:szCs w:val="20"/>
                <w:shd w:val="clear" w:color="auto" w:fill="FFFFFF"/>
              </w:rPr>
              <w:t>nes, including medical science.</w:t>
            </w:r>
            <w:r w:rsidR="004F7EB5">
              <w:rPr>
                <w:rFonts w:ascii="Palatino Linotype" w:hAnsi="Palatino Linotype" w:cs="Arial"/>
                <w:sz w:val="20"/>
                <w:szCs w:val="20"/>
                <w:shd w:val="clear" w:color="auto" w:fill="FFFFFF"/>
              </w:rPr>
              <w:br/>
            </w:r>
            <w:r w:rsidRPr="00813081">
              <w:rPr>
                <w:rFonts w:ascii="Palatino Linotype" w:hAnsi="Palatino Linotype" w:cs="Arial"/>
                <w:sz w:val="20"/>
                <w:szCs w:val="20"/>
                <w:shd w:val="clear" w:color="auto" w:fill="FFFFFF"/>
              </w:rPr>
              <w:lastRenderedPageBreak/>
              <w:t xml:space="preserve">The deadline for proposals is February 02, 2019. For more information visit </w:t>
            </w:r>
            <w:hyperlink r:id="rId23" w:history="1">
              <w:r w:rsidRPr="00813081">
                <w:rPr>
                  <w:rStyle w:val="Hyperlink"/>
                  <w:rFonts w:ascii="Palatino Linotype" w:hAnsi="Palatino Linotype" w:cs="Arial"/>
                  <w:sz w:val="20"/>
                  <w:szCs w:val="20"/>
                  <w:shd w:val="clear" w:color="auto" w:fill="FFFFFF"/>
                </w:rPr>
                <w:t>nsf.gov.</w:t>
              </w:r>
            </w:hyperlink>
          </w:p>
          <w:p w:rsidR="009E06A3" w:rsidRDefault="009E06A3" w:rsidP="00813081">
            <w:pPr>
              <w:pStyle w:val="NormalWeb"/>
              <w:spacing w:before="0" w:beforeAutospacing="0" w:after="0" w:afterAutospacing="0"/>
              <w:ind w:left="144"/>
              <w:rPr>
                <w:rFonts w:ascii="Palatino Linotype" w:hAnsi="Palatino Linotype" w:cs="Arial"/>
                <w:sz w:val="20"/>
                <w:szCs w:val="20"/>
                <w:shd w:val="clear" w:color="auto" w:fill="FFFFFF"/>
              </w:rPr>
            </w:pPr>
          </w:p>
          <w:p w:rsidR="00813081" w:rsidRDefault="00813081" w:rsidP="00813081">
            <w:pPr>
              <w:pStyle w:val="NormalWeb"/>
              <w:spacing w:before="0" w:beforeAutospacing="0" w:after="0" w:afterAutospacing="0"/>
              <w:ind w:left="144"/>
              <w:rPr>
                <w:rFonts w:ascii="Palatino Linotype" w:hAnsi="Palatino Linotype" w:cs="Arial"/>
                <w:b/>
                <w:sz w:val="20"/>
                <w:szCs w:val="20"/>
                <w:u w:val="single"/>
                <w:shd w:val="clear" w:color="auto" w:fill="FFFFFF"/>
              </w:rPr>
            </w:pPr>
            <w:bookmarkStart w:id="9" w:name="SoO"/>
            <w:r w:rsidRPr="00813081">
              <w:rPr>
                <w:rFonts w:ascii="Palatino Linotype" w:hAnsi="Palatino Linotype" w:cs="Arial"/>
                <w:b/>
                <w:sz w:val="20"/>
                <w:szCs w:val="20"/>
                <w:u w:val="single"/>
                <w:shd w:val="clear" w:color="auto" w:fill="FFFFFF"/>
              </w:rPr>
              <w:t>Science of Organizations (SoO)</w:t>
            </w:r>
          </w:p>
          <w:bookmarkEnd w:id="9"/>
          <w:p w:rsidR="00813081" w:rsidRDefault="00813081" w:rsidP="00813081">
            <w:pPr>
              <w:pStyle w:val="NormalWeb"/>
              <w:spacing w:before="0" w:beforeAutospacing="0" w:after="0" w:afterAutospacing="0"/>
              <w:ind w:left="144"/>
              <w:rPr>
                <w:rFonts w:ascii="Palatino Linotype" w:hAnsi="Palatino Linotype" w:cs="Arial"/>
                <w:b/>
                <w:i/>
                <w:sz w:val="20"/>
                <w:szCs w:val="20"/>
              </w:rPr>
            </w:pPr>
            <w:r w:rsidRPr="00813081">
              <w:rPr>
                <w:rFonts w:ascii="Palatino Linotype" w:hAnsi="Palatino Linotype" w:cs="Arial"/>
                <w:b/>
                <w:i/>
                <w:sz w:val="20"/>
                <w:szCs w:val="20"/>
              </w:rPr>
              <w:t>National Science Foundation (NSF)</w:t>
            </w:r>
          </w:p>
          <w:p w:rsidR="00813081" w:rsidRDefault="00813081" w:rsidP="00813081">
            <w:pPr>
              <w:pStyle w:val="NormalWeb"/>
              <w:spacing w:before="0" w:beforeAutospacing="0" w:after="0" w:afterAutospacing="0"/>
              <w:ind w:left="144"/>
              <w:rPr>
                <w:rFonts w:ascii="Palatino Linotype" w:hAnsi="Palatino Linotype" w:cs="Arial"/>
                <w:sz w:val="20"/>
                <w:szCs w:val="20"/>
                <w:shd w:val="clear" w:color="auto" w:fill="FFFFFF"/>
              </w:rPr>
            </w:pPr>
            <w:r w:rsidRPr="00813081">
              <w:rPr>
                <w:rFonts w:ascii="Palatino Linotype" w:hAnsi="Palatino Linotype" w:cs="Arial"/>
                <w:sz w:val="20"/>
                <w:szCs w:val="20"/>
                <w:shd w:val="clear" w:color="auto" w:fill="FFFFFF"/>
              </w:rPr>
              <w:t>This program supports basic research yielding a scientific evidence base to improve the design and emergence, development and deployment, and management and ultimate effectiveness of organizations of all kinds. Projects should advance business practitioners', policy-makers', and research communities' fundamental understanding of how organizati</w:t>
            </w:r>
            <w:r>
              <w:rPr>
                <w:rFonts w:ascii="Palatino Linotype" w:hAnsi="Palatino Linotype" w:cs="Arial"/>
                <w:sz w:val="20"/>
                <w:szCs w:val="20"/>
                <w:shd w:val="clear" w:color="auto" w:fill="FFFFFF"/>
              </w:rPr>
              <w:t xml:space="preserve">ons develop, form, and operate. </w:t>
            </w:r>
            <w:r w:rsidR="004F7EB5">
              <w:rPr>
                <w:rFonts w:ascii="Palatino Linotype" w:hAnsi="Palatino Linotype" w:cs="Arial"/>
                <w:sz w:val="20"/>
                <w:szCs w:val="20"/>
                <w:shd w:val="clear" w:color="auto" w:fill="FFFFFF"/>
              </w:rPr>
              <w:br/>
            </w:r>
            <w:r w:rsidRPr="00813081">
              <w:rPr>
                <w:rFonts w:ascii="Palatino Linotype" w:hAnsi="Palatino Linotype" w:cs="Arial"/>
                <w:sz w:val="20"/>
                <w:szCs w:val="20"/>
                <w:shd w:val="clear" w:color="auto" w:fill="FFFFFF"/>
              </w:rPr>
              <w:t xml:space="preserve">The next deadline for proposals is February 02, 2019. For more information visit </w:t>
            </w:r>
            <w:hyperlink r:id="rId24" w:history="1">
              <w:r w:rsidRPr="00813081">
                <w:rPr>
                  <w:rStyle w:val="Hyperlink"/>
                  <w:rFonts w:ascii="Palatino Linotype" w:hAnsi="Palatino Linotype" w:cs="Arial"/>
                  <w:sz w:val="20"/>
                  <w:szCs w:val="20"/>
                  <w:shd w:val="clear" w:color="auto" w:fill="FFFFFF"/>
                </w:rPr>
                <w:t>nsf.gov</w:t>
              </w:r>
            </w:hyperlink>
            <w:r w:rsidRPr="00813081">
              <w:rPr>
                <w:rFonts w:ascii="Palatino Linotype" w:hAnsi="Palatino Linotype" w:cs="Arial"/>
                <w:sz w:val="20"/>
                <w:szCs w:val="20"/>
                <w:shd w:val="clear" w:color="auto" w:fill="FFFFFF"/>
              </w:rPr>
              <w:t>.</w:t>
            </w:r>
          </w:p>
          <w:p w:rsidR="00813081" w:rsidRDefault="00813081" w:rsidP="00813081">
            <w:pPr>
              <w:pStyle w:val="NormalWeb"/>
              <w:spacing w:before="0" w:beforeAutospacing="0" w:after="0" w:afterAutospacing="0"/>
              <w:ind w:left="144"/>
              <w:rPr>
                <w:rFonts w:ascii="Palatino Linotype" w:hAnsi="Palatino Linotype" w:cs="Arial"/>
                <w:sz w:val="20"/>
                <w:szCs w:val="20"/>
                <w:shd w:val="clear" w:color="auto" w:fill="FFFFFF"/>
              </w:rPr>
            </w:pPr>
          </w:p>
          <w:p w:rsidR="00813081" w:rsidRDefault="00813081" w:rsidP="00813081">
            <w:pPr>
              <w:pStyle w:val="NormalWeb"/>
              <w:spacing w:before="0" w:beforeAutospacing="0" w:after="0" w:afterAutospacing="0"/>
              <w:ind w:left="144"/>
              <w:rPr>
                <w:rFonts w:ascii="Palatino Linotype" w:hAnsi="Palatino Linotype" w:cs="Arial"/>
                <w:b/>
                <w:sz w:val="20"/>
                <w:szCs w:val="20"/>
                <w:u w:val="single"/>
                <w:shd w:val="clear" w:color="auto" w:fill="FFFFFF"/>
              </w:rPr>
            </w:pPr>
            <w:bookmarkStart w:id="10" w:name="CWF"/>
            <w:r w:rsidRPr="00813081">
              <w:rPr>
                <w:rFonts w:ascii="Palatino Linotype" w:hAnsi="Palatino Linotype" w:cs="Arial"/>
                <w:b/>
                <w:sz w:val="20"/>
                <w:szCs w:val="20"/>
                <w:u w:val="single"/>
                <w:shd w:val="clear" w:color="auto" w:fill="FFFFFF"/>
              </w:rPr>
              <w:t>Creative Writing Fellowships</w:t>
            </w:r>
          </w:p>
          <w:bookmarkEnd w:id="10"/>
          <w:p w:rsidR="00813081" w:rsidRDefault="00813081" w:rsidP="00813081">
            <w:pPr>
              <w:pStyle w:val="NormalWeb"/>
              <w:spacing w:before="0" w:beforeAutospacing="0" w:after="0" w:afterAutospacing="0"/>
              <w:ind w:left="144"/>
              <w:rPr>
                <w:rFonts w:ascii="Palatino Linotype" w:hAnsi="Palatino Linotype" w:cs="Arial"/>
                <w:b/>
                <w:i/>
                <w:sz w:val="20"/>
                <w:szCs w:val="20"/>
              </w:rPr>
            </w:pPr>
            <w:r>
              <w:rPr>
                <w:rFonts w:ascii="Palatino Linotype" w:hAnsi="Palatino Linotype" w:cs="Arial"/>
                <w:b/>
                <w:i/>
                <w:sz w:val="20"/>
                <w:szCs w:val="20"/>
              </w:rPr>
              <w:t>National Endowment for the Arts (NEA)</w:t>
            </w:r>
          </w:p>
          <w:p w:rsidR="00813081" w:rsidRDefault="00813081" w:rsidP="00813081">
            <w:pPr>
              <w:pStyle w:val="NormalWeb"/>
              <w:spacing w:before="0" w:beforeAutospacing="0" w:after="0" w:afterAutospacing="0"/>
              <w:ind w:left="144"/>
              <w:rPr>
                <w:rFonts w:ascii="Palatino Linotype" w:hAnsi="Palatino Linotype" w:cs="Arial"/>
                <w:sz w:val="20"/>
                <w:szCs w:val="20"/>
                <w:shd w:val="clear" w:color="auto" w:fill="FFFFFF"/>
              </w:rPr>
            </w:pPr>
            <w:r w:rsidRPr="00813081">
              <w:rPr>
                <w:rFonts w:ascii="Palatino Linotype" w:hAnsi="Palatino Linotype" w:cs="Arial"/>
                <w:sz w:val="20"/>
                <w:szCs w:val="20"/>
                <w:shd w:val="clear" w:color="auto" w:fill="FFFFFF"/>
              </w:rPr>
              <w:t xml:space="preserve">The National Endowment for the Arts Literature Fellowships program offers $25,000 grants in prose (fiction and creative nonfiction) and poetry to published creative writers that enable the recipients to set aside time for writing, research, travel, and general career advancement. </w:t>
            </w:r>
            <w:r w:rsidR="004F7EB5">
              <w:rPr>
                <w:rFonts w:ascii="Palatino Linotype" w:hAnsi="Palatino Linotype" w:cs="Arial"/>
                <w:sz w:val="20"/>
                <w:szCs w:val="20"/>
                <w:shd w:val="clear" w:color="auto" w:fill="FFFFFF"/>
              </w:rPr>
              <w:br/>
            </w:r>
            <w:r w:rsidRPr="00813081">
              <w:rPr>
                <w:rFonts w:ascii="Palatino Linotype" w:hAnsi="Palatino Linotype" w:cs="Arial"/>
                <w:sz w:val="20"/>
                <w:szCs w:val="20"/>
                <w:shd w:val="clear" w:color="auto" w:fill="FFFFFF"/>
              </w:rPr>
              <w:t xml:space="preserve">Proposals are due March 1, 2019. For more information please visit </w:t>
            </w:r>
            <w:hyperlink r:id="rId25" w:history="1">
              <w:r w:rsidRPr="00813081">
                <w:rPr>
                  <w:rStyle w:val="Hyperlink"/>
                  <w:rFonts w:ascii="Palatino Linotype" w:hAnsi="Palatino Linotype" w:cs="Arial"/>
                  <w:sz w:val="20"/>
                  <w:szCs w:val="20"/>
                  <w:shd w:val="clear" w:color="auto" w:fill="FFFFFF"/>
                </w:rPr>
                <w:t>arts.gov.</w:t>
              </w:r>
            </w:hyperlink>
            <w:r w:rsidRPr="00813081">
              <w:rPr>
                <w:rFonts w:ascii="Palatino Linotype" w:hAnsi="Palatino Linotype" w:cs="Arial"/>
                <w:sz w:val="20"/>
                <w:szCs w:val="20"/>
                <w:shd w:val="clear" w:color="auto" w:fill="FFFFFF"/>
              </w:rPr>
              <w:t xml:space="preserve"> </w:t>
            </w:r>
          </w:p>
          <w:p w:rsidR="00FC64AE" w:rsidRDefault="00FC64AE" w:rsidP="00813081">
            <w:pPr>
              <w:pStyle w:val="NormalWeb"/>
              <w:spacing w:before="0" w:beforeAutospacing="0" w:after="0" w:afterAutospacing="0"/>
              <w:ind w:left="144"/>
              <w:rPr>
                <w:rFonts w:ascii="Palatino Linotype" w:hAnsi="Palatino Linotype" w:cs="Arial"/>
                <w:sz w:val="20"/>
                <w:szCs w:val="20"/>
                <w:shd w:val="clear" w:color="auto" w:fill="FFFFFF"/>
              </w:rPr>
            </w:pPr>
          </w:p>
          <w:p w:rsidR="00FC64AE" w:rsidRDefault="00FC64AE" w:rsidP="00813081">
            <w:pPr>
              <w:pStyle w:val="NormalWeb"/>
              <w:spacing w:before="0" w:beforeAutospacing="0" w:after="0" w:afterAutospacing="0"/>
              <w:ind w:left="144"/>
              <w:rPr>
                <w:rFonts w:ascii="Palatino Linotype" w:hAnsi="Palatino Linotype" w:cs="Arial"/>
                <w:sz w:val="20"/>
                <w:szCs w:val="20"/>
                <w:shd w:val="clear" w:color="auto" w:fill="FFFFFF"/>
              </w:rPr>
            </w:pPr>
            <w:bookmarkStart w:id="11" w:name="PRiHS"/>
            <w:r w:rsidRPr="00FC64AE">
              <w:rPr>
                <w:rFonts w:ascii="Palatino Linotype" w:hAnsi="Palatino Linotype" w:cs="Arial"/>
                <w:b/>
                <w:sz w:val="20"/>
                <w:szCs w:val="20"/>
                <w:u w:val="single"/>
                <w:shd w:val="clear" w:color="auto" w:fill="FFFFFF"/>
              </w:rPr>
              <w:t>Pragmatic Research in Healthcare Settings to Improve Diabetes and Obesity Prevention and Care</w:t>
            </w:r>
          </w:p>
          <w:bookmarkEnd w:id="11"/>
          <w:p w:rsidR="00FC64AE" w:rsidRDefault="00FC64AE" w:rsidP="00813081">
            <w:pPr>
              <w:pStyle w:val="NormalWeb"/>
              <w:spacing w:before="0" w:beforeAutospacing="0" w:after="0" w:afterAutospacing="0"/>
              <w:ind w:left="144"/>
              <w:rPr>
                <w:rFonts w:ascii="Palatino Linotype" w:hAnsi="Palatino Linotype" w:cs="Arial"/>
                <w:b/>
                <w:i/>
                <w:sz w:val="20"/>
                <w:szCs w:val="20"/>
                <w:shd w:val="clear" w:color="auto" w:fill="FFFFFF"/>
              </w:rPr>
            </w:pPr>
            <w:r w:rsidRPr="00FC64AE">
              <w:rPr>
                <w:rFonts w:ascii="Palatino Linotype" w:hAnsi="Palatino Linotype" w:cs="Arial"/>
                <w:b/>
                <w:i/>
                <w:sz w:val="20"/>
                <w:szCs w:val="20"/>
                <w:shd w:val="clear" w:color="auto" w:fill="FFFFFF"/>
              </w:rPr>
              <w:t xml:space="preserve">National Institutes of Health  </w:t>
            </w:r>
          </w:p>
          <w:p w:rsidR="00FC64AE" w:rsidRPr="00FC64AE" w:rsidRDefault="004F7EB5" w:rsidP="00813081">
            <w:pPr>
              <w:pStyle w:val="NormalWeb"/>
              <w:spacing w:before="0" w:beforeAutospacing="0" w:after="0" w:afterAutospacing="0"/>
              <w:ind w:left="144"/>
              <w:rPr>
                <w:rFonts w:ascii="Palatino Linotype" w:hAnsi="Palatino Linotype" w:cs="Arial"/>
                <w:sz w:val="20"/>
                <w:szCs w:val="20"/>
                <w:shd w:val="clear" w:color="auto" w:fill="FFFFFF"/>
              </w:rPr>
            </w:pPr>
            <w:r>
              <w:rPr>
                <w:rFonts w:ascii="Palatino Linotype" w:hAnsi="Palatino Linotype" w:cs="Arial"/>
                <w:sz w:val="20"/>
                <w:szCs w:val="20"/>
                <w:shd w:val="clear" w:color="auto" w:fill="FFFFFF"/>
              </w:rPr>
              <w:t>This program e</w:t>
            </w:r>
            <w:r w:rsidR="00FC64AE" w:rsidRPr="00FC64AE">
              <w:rPr>
                <w:rFonts w:ascii="Palatino Linotype" w:hAnsi="Palatino Linotype" w:cs="Arial"/>
                <w:sz w:val="20"/>
                <w:szCs w:val="20"/>
                <w:shd w:val="clear" w:color="auto" w:fill="FFFFFF"/>
              </w:rPr>
              <w:t xml:space="preserve">ncourages research applications to test innovative approaches to improve diabetes and obesity prevention and/or treatment that are adapted for implementation in healthcare settings where individuals receive their routine medical care. </w:t>
            </w:r>
            <w:r>
              <w:rPr>
                <w:rFonts w:ascii="Palatino Linotype" w:hAnsi="Palatino Linotype" w:cs="Arial"/>
                <w:sz w:val="20"/>
                <w:szCs w:val="20"/>
                <w:shd w:val="clear" w:color="auto" w:fill="FFFFFF"/>
              </w:rPr>
              <w:t xml:space="preserve">Projects </w:t>
            </w:r>
            <w:r w:rsidR="00FC64AE" w:rsidRPr="00FC64AE">
              <w:rPr>
                <w:rFonts w:ascii="Palatino Linotype" w:hAnsi="Palatino Linotype" w:cs="Arial"/>
                <w:sz w:val="20"/>
                <w:szCs w:val="20"/>
                <w:shd w:val="clear" w:color="auto" w:fill="FFFFFF"/>
              </w:rPr>
              <w:t>should be designed to test practical and sustainable strategies to improve processes of care and health outcomes for individuals with or at risk of diabetes and/or obesity.</w:t>
            </w:r>
            <w:r w:rsidR="00FC64AE">
              <w:rPr>
                <w:rFonts w:ascii="Palatino Linotype" w:hAnsi="Palatino Linotype" w:cs="Arial"/>
                <w:sz w:val="20"/>
                <w:szCs w:val="20"/>
                <w:shd w:val="clear" w:color="auto" w:fill="FFFFFF"/>
              </w:rPr>
              <w:t xml:space="preserve"> </w:t>
            </w:r>
            <w:r>
              <w:rPr>
                <w:rFonts w:ascii="Palatino Linotype" w:hAnsi="Palatino Linotype" w:cs="Arial"/>
                <w:sz w:val="20"/>
                <w:szCs w:val="20"/>
                <w:shd w:val="clear" w:color="auto" w:fill="FFFFFF"/>
              </w:rPr>
              <w:br/>
            </w:r>
            <w:r w:rsidR="00FC64AE">
              <w:rPr>
                <w:rFonts w:ascii="Palatino Linotype" w:hAnsi="Palatino Linotype" w:cs="Arial"/>
                <w:sz w:val="20"/>
                <w:szCs w:val="20"/>
                <w:shd w:val="clear" w:color="auto" w:fill="FFFFFF"/>
              </w:rPr>
              <w:t xml:space="preserve">Proposals are due March 3, 2019. </w:t>
            </w:r>
            <w:r w:rsidR="00DB52BE">
              <w:rPr>
                <w:rFonts w:ascii="Palatino Linotype" w:hAnsi="Palatino Linotype" w:cs="Arial"/>
                <w:sz w:val="20"/>
                <w:szCs w:val="20"/>
                <w:shd w:val="clear" w:color="auto" w:fill="FFFFFF"/>
              </w:rPr>
              <w:t xml:space="preserve">For more information please visit </w:t>
            </w:r>
            <w:hyperlink r:id="rId26" w:history="1">
              <w:r w:rsidR="00DB52BE" w:rsidRPr="00DB52BE">
                <w:rPr>
                  <w:rStyle w:val="Hyperlink"/>
                  <w:rFonts w:ascii="Palatino Linotype" w:hAnsi="Palatino Linotype" w:cs="Arial"/>
                  <w:sz w:val="20"/>
                  <w:szCs w:val="20"/>
                  <w:shd w:val="clear" w:color="auto" w:fill="FFFFFF"/>
                </w:rPr>
                <w:t>nih.gov.</w:t>
              </w:r>
            </w:hyperlink>
            <w:r w:rsidR="00DB52BE">
              <w:rPr>
                <w:rFonts w:ascii="Palatino Linotype" w:hAnsi="Palatino Linotype" w:cs="Arial"/>
                <w:sz w:val="20"/>
                <w:szCs w:val="20"/>
                <w:shd w:val="clear" w:color="auto" w:fill="FFFFFF"/>
              </w:rPr>
              <w:t xml:space="preserve"> </w:t>
            </w:r>
          </w:p>
          <w:p w:rsidR="00FC64AE" w:rsidRDefault="00FC64AE" w:rsidP="00813081">
            <w:pPr>
              <w:pStyle w:val="NormalWeb"/>
              <w:spacing w:before="0" w:beforeAutospacing="0" w:after="0" w:afterAutospacing="0"/>
              <w:ind w:left="144"/>
              <w:rPr>
                <w:rFonts w:ascii="Palatino Linotype" w:hAnsi="Palatino Linotype" w:cs="Arial"/>
                <w:sz w:val="20"/>
                <w:szCs w:val="20"/>
                <w:shd w:val="clear" w:color="auto" w:fill="FFFFFF"/>
              </w:rPr>
            </w:pPr>
          </w:p>
          <w:p w:rsidR="00FC64AE" w:rsidRDefault="00FC64AE" w:rsidP="00813081">
            <w:pPr>
              <w:pStyle w:val="NormalWeb"/>
              <w:spacing w:before="0" w:beforeAutospacing="0" w:after="0" w:afterAutospacing="0"/>
              <w:ind w:left="144"/>
              <w:rPr>
                <w:rFonts w:ascii="Palatino Linotype" w:hAnsi="Palatino Linotype" w:cs="Arial"/>
                <w:b/>
                <w:sz w:val="20"/>
                <w:szCs w:val="20"/>
                <w:u w:val="single"/>
                <w:shd w:val="clear" w:color="auto" w:fill="FFFFFF"/>
              </w:rPr>
            </w:pPr>
            <w:bookmarkStart w:id="12" w:name="ENE"/>
            <w:r w:rsidRPr="00FC64AE">
              <w:rPr>
                <w:rFonts w:ascii="Palatino Linotype" w:hAnsi="Palatino Linotype" w:cs="Arial"/>
                <w:b/>
                <w:sz w:val="20"/>
                <w:szCs w:val="20"/>
                <w:u w:val="single"/>
                <w:shd w:val="clear" w:color="auto" w:fill="FFFFFF"/>
              </w:rPr>
              <w:t xml:space="preserve">Evaluating Natural Experiments In Healthcare to Improve Diabetes Prevention and Treatment </w:t>
            </w:r>
          </w:p>
          <w:bookmarkEnd w:id="12"/>
          <w:p w:rsidR="00FC64AE" w:rsidRDefault="00FC64AE" w:rsidP="00813081">
            <w:pPr>
              <w:pStyle w:val="NormalWeb"/>
              <w:spacing w:before="0" w:beforeAutospacing="0" w:after="0" w:afterAutospacing="0"/>
              <w:ind w:left="144"/>
              <w:rPr>
                <w:rFonts w:ascii="Palatino Linotype" w:hAnsi="Palatino Linotype" w:cs="Arial"/>
                <w:b/>
                <w:i/>
                <w:sz w:val="20"/>
                <w:szCs w:val="20"/>
                <w:shd w:val="clear" w:color="auto" w:fill="FFFFFF"/>
              </w:rPr>
            </w:pPr>
            <w:r w:rsidRPr="00FC64AE">
              <w:rPr>
                <w:rFonts w:ascii="Palatino Linotype" w:hAnsi="Palatino Linotype" w:cs="Arial"/>
                <w:b/>
                <w:i/>
                <w:sz w:val="20"/>
                <w:szCs w:val="20"/>
                <w:shd w:val="clear" w:color="auto" w:fill="FFFFFF"/>
              </w:rPr>
              <w:t>National Institutes of Health</w:t>
            </w:r>
          </w:p>
          <w:p w:rsidR="00FC64AE" w:rsidRPr="00FC64AE" w:rsidRDefault="00FC64AE" w:rsidP="00FC64AE">
            <w:pPr>
              <w:pStyle w:val="NormalWeb"/>
              <w:spacing w:before="0" w:beforeAutospacing="0" w:after="0" w:afterAutospacing="0"/>
              <w:ind w:left="144"/>
              <w:rPr>
                <w:rFonts w:ascii="Palatino Linotype" w:hAnsi="Palatino Linotype" w:cs="Arial"/>
                <w:sz w:val="20"/>
                <w:szCs w:val="20"/>
                <w:shd w:val="clear" w:color="auto" w:fill="FFFFFF"/>
              </w:rPr>
            </w:pPr>
            <w:r w:rsidRPr="00FC64AE">
              <w:rPr>
                <w:rFonts w:ascii="Palatino Linotype" w:hAnsi="Palatino Linotype" w:cs="Arial"/>
                <w:sz w:val="20"/>
                <w:szCs w:val="20"/>
                <w:shd w:val="clear" w:color="auto" w:fill="FFFFFF"/>
              </w:rPr>
              <w:t xml:space="preserve">The purpose of this </w:t>
            </w:r>
            <w:r w:rsidR="004F7EB5">
              <w:rPr>
                <w:rFonts w:ascii="Palatino Linotype" w:hAnsi="Palatino Linotype" w:cs="Arial"/>
                <w:sz w:val="20"/>
                <w:szCs w:val="20"/>
                <w:shd w:val="clear" w:color="auto" w:fill="FFFFFF"/>
              </w:rPr>
              <w:t xml:space="preserve">program </w:t>
            </w:r>
            <w:r w:rsidRPr="00FC64AE">
              <w:rPr>
                <w:rFonts w:ascii="Palatino Linotype" w:hAnsi="Palatino Linotype" w:cs="Arial"/>
                <w:sz w:val="20"/>
                <w:szCs w:val="20"/>
                <w:shd w:val="clear" w:color="auto" w:fill="FFFFFF"/>
              </w:rPr>
              <w:t>is to support research to evaluate large scale policies or programs related to healthcare delivery that are expected to influence diabetes prevention and care. Research support is for the evaluation of the effectiveness of healthcare programs and/or policies implemented i</w:t>
            </w:r>
            <w:r w:rsidR="004F7EB5">
              <w:rPr>
                <w:rFonts w:ascii="Palatino Linotype" w:hAnsi="Palatino Linotype" w:cs="Arial"/>
                <w:sz w:val="20"/>
                <w:szCs w:val="20"/>
                <w:shd w:val="clear" w:color="auto" w:fill="FFFFFF"/>
              </w:rPr>
              <w:t>ndependent of NIH grant funding.</w:t>
            </w:r>
            <w:r w:rsidR="004F7EB5">
              <w:rPr>
                <w:rFonts w:ascii="Palatino Linotype" w:hAnsi="Palatino Linotype" w:cs="Arial"/>
                <w:sz w:val="20"/>
                <w:szCs w:val="20"/>
                <w:shd w:val="clear" w:color="auto" w:fill="FFFFFF"/>
              </w:rPr>
              <w:br/>
            </w:r>
            <w:r>
              <w:rPr>
                <w:rFonts w:ascii="Palatino Linotype" w:hAnsi="Palatino Linotype" w:cs="Arial"/>
                <w:sz w:val="20"/>
                <w:szCs w:val="20"/>
                <w:shd w:val="clear" w:color="auto" w:fill="FFFFFF"/>
              </w:rPr>
              <w:t xml:space="preserve">Proposals are due March 1, 2019. For more information please visit </w:t>
            </w:r>
            <w:hyperlink r:id="rId27" w:history="1">
              <w:r w:rsidRPr="00FC64AE">
                <w:rPr>
                  <w:rStyle w:val="Hyperlink"/>
                  <w:rFonts w:ascii="Palatino Linotype" w:hAnsi="Palatino Linotype" w:cs="Arial"/>
                  <w:sz w:val="20"/>
                  <w:szCs w:val="20"/>
                  <w:shd w:val="clear" w:color="auto" w:fill="FFFFFF"/>
                </w:rPr>
                <w:t>nih.gov.</w:t>
              </w:r>
            </w:hyperlink>
          </w:p>
          <w:p w:rsidR="00813081" w:rsidRPr="00813081" w:rsidRDefault="00813081" w:rsidP="00813081">
            <w:pPr>
              <w:pStyle w:val="NormalWeb"/>
              <w:spacing w:before="0" w:beforeAutospacing="0" w:after="0" w:afterAutospacing="0"/>
              <w:ind w:left="144"/>
              <w:rPr>
                <w:rFonts w:ascii="Palatino Linotype" w:hAnsi="Palatino Linotype" w:cs="Arial"/>
                <w:b/>
                <w:i/>
                <w:sz w:val="20"/>
                <w:szCs w:val="20"/>
              </w:rPr>
            </w:pPr>
          </w:p>
        </w:tc>
      </w:tr>
      <w:tr w:rsidR="00EA011A" w:rsidRPr="00752727" w:rsidTr="004F7EB5">
        <w:tblPrEx>
          <w:tblBorders>
            <w:insideH w:val="none" w:sz="0" w:space="0" w:color="auto"/>
            <w:insideV w:val="none" w:sz="0" w:space="0" w:color="auto"/>
          </w:tblBorders>
          <w:tblCellMar>
            <w:left w:w="108" w:type="dxa"/>
            <w:right w:w="108" w:type="dxa"/>
          </w:tblCellMar>
        </w:tblPrEx>
        <w:trPr>
          <w:trHeight w:val="422"/>
        </w:trPr>
        <w:tc>
          <w:tcPr>
            <w:tcW w:w="10615" w:type="dxa"/>
            <w:gridSpan w:val="12"/>
            <w:tcBorders>
              <w:top w:val="single" w:sz="4" w:space="0" w:color="auto"/>
              <w:bottom w:val="nil"/>
            </w:tcBorders>
            <w:shd w:val="clear" w:color="auto" w:fill="D9E2F3" w:themeFill="accent5" w:themeFillTint="33"/>
          </w:tcPr>
          <w:p w:rsidR="00EA011A" w:rsidRPr="001A046E" w:rsidRDefault="004F7EB5" w:rsidP="004F7EB5">
            <w:pPr>
              <w:spacing w:after="0" w:line="240" w:lineRule="auto"/>
              <w:jc w:val="center"/>
              <w:rPr>
                <w:rFonts w:ascii="Palatino Linotype" w:hAnsi="Palatino Linotype"/>
                <w:sz w:val="20"/>
                <w:szCs w:val="20"/>
              </w:rPr>
            </w:pPr>
            <w:bookmarkStart w:id="13" w:name="AP"/>
            <w:r>
              <w:rPr>
                <w:rFonts w:ascii="Palatino Linotype" w:hAnsi="Palatino Linotype" w:cs="Arial"/>
                <w:b/>
                <w:sz w:val="20"/>
                <w:szCs w:val="20"/>
                <w:u w:val="single"/>
                <w:bdr w:val="none" w:sz="0" w:space="0" w:color="auto" w:frame="1"/>
              </w:rPr>
              <w:lastRenderedPageBreak/>
              <w:t xml:space="preserve">November </w:t>
            </w:r>
            <w:r w:rsidR="00EA011A">
              <w:rPr>
                <w:rFonts w:ascii="Palatino Linotype" w:hAnsi="Palatino Linotype" w:cs="Arial"/>
                <w:b/>
                <w:sz w:val="20"/>
                <w:szCs w:val="20"/>
                <w:u w:val="single"/>
                <w:bdr w:val="none" w:sz="0" w:space="0" w:color="auto" w:frame="1"/>
              </w:rPr>
              <w:t xml:space="preserve">2018 </w:t>
            </w:r>
            <w:r w:rsidR="00EA011A" w:rsidRPr="005F0B23">
              <w:rPr>
                <w:rFonts w:ascii="Palatino Linotype" w:hAnsi="Palatino Linotype" w:cs="Arial"/>
                <w:b/>
                <w:sz w:val="20"/>
                <w:szCs w:val="20"/>
                <w:u w:val="single"/>
                <w:bdr w:val="none" w:sz="0" w:space="0" w:color="auto" w:frame="1"/>
              </w:rPr>
              <w:t>Proposals</w:t>
            </w:r>
            <w:bookmarkEnd w:id="13"/>
          </w:p>
        </w:tc>
      </w:tr>
      <w:tr w:rsidR="00EA011A" w:rsidRPr="00752727" w:rsidTr="004F7EB5">
        <w:tblPrEx>
          <w:tblBorders>
            <w:insideH w:val="none" w:sz="0" w:space="0" w:color="auto"/>
            <w:insideV w:val="none" w:sz="0" w:space="0" w:color="auto"/>
          </w:tblBorders>
          <w:tblCellMar>
            <w:left w:w="108" w:type="dxa"/>
            <w:right w:w="108" w:type="dxa"/>
          </w:tblCellMar>
        </w:tblPrEx>
        <w:trPr>
          <w:trHeight w:val="6048"/>
        </w:trPr>
        <w:tc>
          <w:tcPr>
            <w:tcW w:w="5125" w:type="dxa"/>
            <w:gridSpan w:val="7"/>
            <w:tcBorders>
              <w:top w:val="nil"/>
            </w:tcBorders>
            <w:shd w:val="clear" w:color="auto" w:fill="D9E2F3" w:themeFill="accent5" w:themeFillTint="33"/>
          </w:tcPr>
          <w:p w:rsidR="007A4F2B" w:rsidRPr="009F7610" w:rsidRDefault="007A4F2B" w:rsidP="007A4F2B">
            <w:pPr>
              <w:rPr>
                <w:rFonts w:ascii="Palatino Linotype" w:hAnsi="Palatino Linotype"/>
                <w:sz w:val="20"/>
                <w:szCs w:val="20"/>
              </w:rPr>
            </w:pPr>
            <w:r w:rsidRPr="007A4F2B">
              <w:rPr>
                <w:rFonts w:ascii="Palatino Linotype" w:hAnsi="Palatino Linotype"/>
                <w:b/>
                <w:sz w:val="20"/>
                <w:szCs w:val="20"/>
                <w:u w:val="single"/>
              </w:rPr>
              <w:lastRenderedPageBreak/>
              <w:t>Heejung An</w:t>
            </w:r>
            <w:r w:rsidRPr="007A4F2B">
              <w:rPr>
                <w:rFonts w:ascii="Palatino Linotype" w:hAnsi="Palatino Linotype"/>
                <w:b/>
                <w:sz w:val="20"/>
                <w:szCs w:val="20"/>
                <w:u w:val="single"/>
              </w:rPr>
              <w:br/>
            </w:r>
            <w:r w:rsidRPr="009F7610">
              <w:rPr>
                <w:rFonts w:ascii="Palatino Linotype" w:hAnsi="Palatino Linotype"/>
                <w:sz w:val="20"/>
                <w:szCs w:val="20"/>
              </w:rPr>
              <w:t>College of Education</w:t>
            </w:r>
            <w:r>
              <w:rPr>
                <w:rFonts w:ascii="Palatino Linotype" w:hAnsi="Palatino Linotype"/>
                <w:sz w:val="20"/>
                <w:szCs w:val="20"/>
              </w:rPr>
              <w:br/>
            </w:r>
            <w:r w:rsidRPr="007A4F2B">
              <w:rPr>
                <w:rFonts w:ascii="Palatino Linotype" w:hAnsi="Palatino Linotype"/>
                <w:b/>
                <w:sz w:val="20"/>
                <w:szCs w:val="20"/>
                <w:u w:val="single"/>
              </w:rPr>
              <w:t>Kevin Martus</w:t>
            </w:r>
            <w:r w:rsidRPr="007A4F2B">
              <w:rPr>
                <w:rFonts w:ascii="Palatino Linotype" w:hAnsi="Palatino Linotype"/>
                <w:b/>
                <w:sz w:val="20"/>
                <w:szCs w:val="20"/>
                <w:u w:val="single"/>
              </w:rPr>
              <w:br/>
            </w:r>
            <w:r w:rsidRPr="009F7610">
              <w:rPr>
                <w:rFonts w:ascii="Palatino Linotype" w:hAnsi="Palatino Linotype"/>
                <w:sz w:val="20"/>
                <w:szCs w:val="20"/>
              </w:rPr>
              <w:t>College of Science and Health</w:t>
            </w:r>
            <w:r w:rsidRPr="009F7610">
              <w:rPr>
                <w:rFonts w:ascii="Palatino Linotype" w:hAnsi="Palatino Linotype"/>
                <w:sz w:val="20"/>
                <w:szCs w:val="20"/>
              </w:rPr>
              <w:tab/>
            </w:r>
            <w:r w:rsidRPr="009F7610">
              <w:rPr>
                <w:rFonts w:ascii="Palatino Linotype" w:hAnsi="Palatino Linotype"/>
                <w:sz w:val="20"/>
                <w:szCs w:val="20"/>
              </w:rPr>
              <w:br/>
            </w:r>
            <w:r w:rsidRPr="007A4F2B">
              <w:rPr>
                <w:rFonts w:ascii="Palatino Linotype" w:hAnsi="Palatino Linotype"/>
                <w:b/>
                <w:i/>
                <w:sz w:val="20"/>
                <w:szCs w:val="20"/>
              </w:rPr>
              <w:t>National Science Foundation</w:t>
            </w:r>
            <w:r w:rsidRPr="007A4F2B">
              <w:rPr>
                <w:rFonts w:ascii="Palatino Linotype" w:hAnsi="Palatino Linotype"/>
                <w:b/>
                <w:i/>
                <w:sz w:val="20"/>
                <w:szCs w:val="20"/>
              </w:rPr>
              <w:tab/>
            </w:r>
            <w:r w:rsidRPr="007A4F2B">
              <w:rPr>
                <w:rFonts w:ascii="Palatino Linotype" w:hAnsi="Palatino Linotype"/>
                <w:b/>
                <w:i/>
                <w:sz w:val="20"/>
                <w:szCs w:val="20"/>
              </w:rPr>
              <w:tab/>
            </w:r>
            <w:r w:rsidRPr="007A4F2B">
              <w:rPr>
                <w:rFonts w:ascii="Palatino Linotype" w:hAnsi="Palatino Linotype"/>
                <w:b/>
                <w:i/>
                <w:sz w:val="20"/>
                <w:szCs w:val="20"/>
              </w:rPr>
              <w:br/>
            </w:r>
            <w:r w:rsidRPr="007A4F2B">
              <w:rPr>
                <w:rFonts w:ascii="Palatino Linotype" w:hAnsi="Palatino Linotype"/>
                <w:i/>
                <w:sz w:val="20"/>
                <w:szCs w:val="20"/>
              </w:rPr>
              <w:t>Physical Science Education with C-STEAM in Urban Elementary School Classrooms</w:t>
            </w:r>
            <w:r w:rsidRPr="007A4F2B">
              <w:rPr>
                <w:rFonts w:ascii="Palatino Linotype" w:hAnsi="Palatino Linotype"/>
                <w:i/>
                <w:sz w:val="20"/>
                <w:szCs w:val="20"/>
              </w:rPr>
              <w:tab/>
            </w:r>
            <w:r w:rsidRPr="007A4F2B">
              <w:rPr>
                <w:rFonts w:ascii="Palatino Linotype" w:hAnsi="Palatino Linotype"/>
                <w:i/>
                <w:sz w:val="20"/>
                <w:szCs w:val="20"/>
              </w:rPr>
              <w:br/>
            </w:r>
            <w:r w:rsidRPr="009F7610">
              <w:rPr>
                <w:rFonts w:ascii="Palatino Linotype" w:hAnsi="Palatino Linotype"/>
                <w:sz w:val="20"/>
                <w:szCs w:val="20"/>
              </w:rPr>
              <w:t>$2,234,869</w:t>
            </w:r>
          </w:p>
          <w:p w:rsidR="007A4F2B" w:rsidRPr="009F7610" w:rsidRDefault="007A4F2B" w:rsidP="007A4F2B">
            <w:pPr>
              <w:rPr>
                <w:rFonts w:ascii="Palatino Linotype" w:hAnsi="Palatino Linotype"/>
                <w:sz w:val="20"/>
                <w:szCs w:val="20"/>
              </w:rPr>
            </w:pPr>
            <w:r w:rsidRPr="007A4F2B">
              <w:rPr>
                <w:rFonts w:ascii="Palatino Linotype" w:hAnsi="Palatino Linotype"/>
                <w:b/>
                <w:sz w:val="20"/>
                <w:szCs w:val="20"/>
                <w:u w:val="single"/>
              </w:rPr>
              <w:t>James Arnone</w:t>
            </w:r>
            <w:r w:rsidRPr="007A4F2B">
              <w:rPr>
                <w:rFonts w:ascii="Palatino Linotype" w:hAnsi="Palatino Linotype"/>
                <w:b/>
                <w:sz w:val="20"/>
                <w:szCs w:val="20"/>
                <w:u w:val="single"/>
              </w:rPr>
              <w:br/>
            </w:r>
            <w:r w:rsidRPr="009F7610">
              <w:rPr>
                <w:rFonts w:ascii="Palatino Linotype" w:hAnsi="Palatino Linotype"/>
                <w:sz w:val="20"/>
                <w:szCs w:val="20"/>
              </w:rPr>
              <w:t>College of Science and Health</w:t>
            </w:r>
            <w:r w:rsidRPr="009F7610">
              <w:rPr>
                <w:rFonts w:ascii="Palatino Linotype" w:hAnsi="Palatino Linotype"/>
                <w:sz w:val="20"/>
                <w:szCs w:val="20"/>
              </w:rPr>
              <w:tab/>
            </w:r>
            <w:r w:rsidRPr="009F7610">
              <w:rPr>
                <w:rFonts w:ascii="Palatino Linotype" w:hAnsi="Palatino Linotype"/>
                <w:sz w:val="20"/>
                <w:szCs w:val="20"/>
              </w:rPr>
              <w:br/>
            </w:r>
            <w:r w:rsidRPr="007A4F2B">
              <w:rPr>
                <w:rFonts w:ascii="Palatino Linotype" w:hAnsi="Palatino Linotype"/>
                <w:b/>
                <w:i/>
                <w:sz w:val="20"/>
                <w:szCs w:val="20"/>
              </w:rPr>
              <w:t>National Science Foundation</w:t>
            </w:r>
            <w:r w:rsidRPr="007A4F2B">
              <w:rPr>
                <w:rFonts w:ascii="Palatino Linotype" w:hAnsi="Palatino Linotype"/>
                <w:b/>
                <w:i/>
                <w:sz w:val="20"/>
                <w:szCs w:val="20"/>
              </w:rPr>
              <w:tab/>
            </w:r>
            <w:r w:rsidRPr="007A4F2B">
              <w:rPr>
                <w:rFonts w:ascii="Palatino Linotype" w:hAnsi="Palatino Linotype"/>
                <w:b/>
                <w:i/>
                <w:sz w:val="20"/>
                <w:szCs w:val="20"/>
              </w:rPr>
              <w:tab/>
            </w:r>
            <w:r w:rsidRPr="007A4F2B">
              <w:rPr>
                <w:rFonts w:ascii="Palatino Linotype" w:hAnsi="Palatino Linotype"/>
                <w:b/>
                <w:i/>
                <w:sz w:val="20"/>
                <w:szCs w:val="20"/>
              </w:rPr>
              <w:br/>
            </w:r>
            <w:r w:rsidRPr="007A4F2B">
              <w:rPr>
                <w:rFonts w:ascii="Palatino Linotype" w:hAnsi="Palatino Linotype"/>
                <w:i/>
                <w:sz w:val="20"/>
                <w:szCs w:val="20"/>
              </w:rPr>
              <w:t>RUI: Characterization of Gene Regulatory Mechanisms Coordinating the Expression of Functional Clusters in Budding Yeast</w:t>
            </w:r>
            <w:r w:rsidRPr="009F7610">
              <w:rPr>
                <w:rFonts w:ascii="Palatino Linotype" w:hAnsi="Palatino Linotype"/>
                <w:sz w:val="20"/>
                <w:szCs w:val="20"/>
              </w:rPr>
              <w:tab/>
            </w:r>
            <w:r w:rsidRPr="009F7610">
              <w:rPr>
                <w:rFonts w:ascii="Palatino Linotype" w:hAnsi="Palatino Linotype"/>
                <w:sz w:val="20"/>
                <w:szCs w:val="20"/>
              </w:rPr>
              <w:br/>
              <w:t>$292,669</w:t>
            </w:r>
          </w:p>
          <w:p w:rsidR="007A4F2B" w:rsidRPr="008E6E61" w:rsidRDefault="007A4F2B" w:rsidP="007A4F2B">
            <w:pPr>
              <w:rPr>
                <w:rFonts w:ascii="Palatino Linotype" w:hAnsi="Palatino Linotype"/>
                <w:b/>
                <w:sz w:val="20"/>
                <w:szCs w:val="20"/>
              </w:rPr>
            </w:pPr>
            <w:r w:rsidRPr="007A4F2B">
              <w:rPr>
                <w:rFonts w:ascii="Palatino Linotype" w:hAnsi="Palatino Linotype"/>
                <w:b/>
                <w:sz w:val="20"/>
                <w:szCs w:val="20"/>
                <w:u w:val="single"/>
              </w:rPr>
              <w:t>Lucia McMahon</w:t>
            </w:r>
            <w:r w:rsidRPr="007A4F2B">
              <w:rPr>
                <w:rFonts w:ascii="Palatino Linotype" w:hAnsi="Palatino Linotype"/>
                <w:b/>
                <w:sz w:val="20"/>
                <w:szCs w:val="20"/>
                <w:u w:val="single"/>
              </w:rPr>
              <w:br/>
            </w:r>
            <w:r w:rsidRPr="009F7610">
              <w:rPr>
                <w:rFonts w:ascii="Palatino Linotype" w:hAnsi="Palatino Linotype"/>
                <w:sz w:val="20"/>
                <w:szCs w:val="20"/>
              </w:rPr>
              <w:t>College of Humanities and Social Sciences</w:t>
            </w:r>
            <w:r w:rsidRPr="009F7610">
              <w:rPr>
                <w:rFonts w:ascii="Palatino Linotype" w:hAnsi="Palatino Linotype"/>
                <w:sz w:val="20"/>
                <w:szCs w:val="20"/>
              </w:rPr>
              <w:tab/>
            </w:r>
            <w:r w:rsidRPr="009F7610">
              <w:rPr>
                <w:rFonts w:ascii="Palatino Linotype" w:hAnsi="Palatino Linotype"/>
                <w:sz w:val="20"/>
                <w:szCs w:val="20"/>
              </w:rPr>
              <w:br/>
            </w:r>
            <w:r w:rsidRPr="007A4F2B">
              <w:rPr>
                <w:rFonts w:ascii="Palatino Linotype" w:hAnsi="Palatino Linotype"/>
                <w:b/>
                <w:i/>
                <w:sz w:val="20"/>
                <w:szCs w:val="20"/>
              </w:rPr>
              <w:t>Nation</w:t>
            </w:r>
            <w:r>
              <w:rPr>
                <w:rFonts w:ascii="Palatino Linotype" w:hAnsi="Palatino Linotype"/>
                <w:b/>
                <w:i/>
                <w:sz w:val="20"/>
                <w:szCs w:val="20"/>
              </w:rPr>
              <w:t>al Endowment for the Humanities</w:t>
            </w:r>
            <w:r>
              <w:rPr>
                <w:rFonts w:ascii="Palatino Linotype" w:hAnsi="Palatino Linotype"/>
                <w:b/>
                <w:i/>
                <w:sz w:val="20"/>
                <w:szCs w:val="20"/>
              </w:rPr>
              <w:br/>
            </w:r>
            <w:r w:rsidRPr="007A4F2B">
              <w:rPr>
                <w:rFonts w:ascii="Palatino Linotype" w:hAnsi="Palatino Linotype"/>
                <w:i/>
                <w:sz w:val="20"/>
                <w:szCs w:val="20"/>
              </w:rPr>
              <w:t>Connections at the Crossroads: Voices of War, Past and Present</w:t>
            </w:r>
            <w:r w:rsidRPr="007A4F2B">
              <w:rPr>
                <w:rFonts w:ascii="Palatino Linotype" w:hAnsi="Palatino Linotype"/>
                <w:i/>
                <w:sz w:val="20"/>
                <w:szCs w:val="20"/>
              </w:rPr>
              <w:tab/>
            </w:r>
            <w:r w:rsidRPr="009F7610">
              <w:rPr>
                <w:rFonts w:ascii="Palatino Linotype" w:hAnsi="Palatino Linotype"/>
                <w:sz w:val="20"/>
                <w:szCs w:val="20"/>
              </w:rPr>
              <w:br/>
              <w:t>$100,000</w:t>
            </w:r>
          </w:p>
        </w:tc>
        <w:tc>
          <w:tcPr>
            <w:tcW w:w="5490" w:type="dxa"/>
            <w:gridSpan w:val="5"/>
            <w:tcBorders>
              <w:top w:val="nil"/>
            </w:tcBorders>
            <w:shd w:val="clear" w:color="auto" w:fill="D9E2F3" w:themeFill="accent5" w:themeFillTint="33"/>
          </w:tcPr>
          <w:p w:rsidR="007A4F2B" w:rsidRPr="009F7610" w:rsidRDefault="007A4F2B" w:rsidP="007A4F2B">
            <w:pPr>
              <w:rPr>
                <w:rFonts w:ascii="Palatino Linotype" w:hAnsi="Palatino Linotype"/>
                <w:sz w:val="20"/>
                <w:szCs w:val="20"/>
              </w:rPr>
            </w:pPr>
            <w:r w:rsidRPr="007A4F2B">
              <w:rPr>
                <w:rFonts w:ascii="Palatino Linotype" w:hAnsi="Palatino Linotype"/>
                <w:b/>
                <w:sz w:val="20"/>
                <w:szCs w:val="20"/>
                <w:u w:val="single"/>
              </w:rPr>
              <w:t>Venkat Sharma</w:t>
            </w:r>
            <w:r w:rsidRPr="007A4F2B">
              <w:rPr>
                <w:rFonts w:ascii="Palatino Linotype" w:hAnsi="Palatino Linotype"/>
                <w:b/>
                <w:sz w:val="20"/>
                <w:szCs w:val="20"/>
                <w:u w:val="single"/>
              </w:rPr>
              <w:br/>
              <w:t>Jean Fuller-Stanley</w:t>
            </w:r>
            <w:r w:rsidRPr="007A4F2B">
              <w:rPr>
                <w:rFonts w:ascii="Palatino Linotype" w:hAnsi="Palatino Linotype"/>
                <w:b/>
                <w:sz w:val="20"/>
                <w:szCs w:val="20"/>
                <w:u w:val="single"/>
              </w:rPr>
              <w:br/>
            </w:r>
            <w:r w:rsidRPr="009F7610">
              <w:rPr>
                <w:rFonts w:ascii="Palatino Linotype" w:hAnsi="Palatino Linotype"/>
                <w:sz w:val="20"/>
                <w:szCs w:val="20"/>
              </w:rPr>
              <w:t>College of Science and Health</w:t>
            </w:r>
            <w:r w:rsidRPr="009F7610">
              <w:rPr>
                <w:rFonts w:ascii="Palatino Linotype" w:hAnsi="Palatino Linotype"/>
                <w:sz w:val="20"/>
                <w:szCs w:val="20"/>
              </w:rPr>
              <w:tab/>
            </w:r>
            <w:r w:rsidRPr="009F7610">
              <w:rPr>
                <w:rFonts w:ascii="Palatino Linotype" w:hAnsi="Palatino Linotype"/>
                <w:sz w:val="20"/>
                <w:szCs w:val="20"/>
              </w:rPr>
              <w:br/>
            </w:r>
            <w:r w:rsidRPr="007A4F2B">
              <w:rPr>
                <w:rFonts w:ascii="Palatino Linotype" w:hAnsi="Palatino Linotype"/>
                <w:b/>
                <w:i/>
                <w:sz w:val="20"/>
                <w:szCs w:val="20"/>
              </w:rPr>
              <w:t>National Science Foundation through a subaward from Rutgers University</w:t>
            </w:r>
            <w:r w:rsidRPr="009F7610">
              <w:rPr>
                <w:rFonts w:ascii="Palatino Linotype" w:hAnsi="Palatino Linotype"/>
                <w:sz w:val="20"/>
                <w:szCs w:val="20"/>
              </w:rPr>
              <w:tab/>
            </w:r>
            <w:r w:rsidRPr="009F7610">
              <w:rPr>
                <w:rFonts w:ascii="Palatino Linotype" w:hAnsi="Palatino Linotype"/>
                <w:sz w:val="20"/>
                <w:szCs w:val="20"/>
              </w:rPr>
              <w:br/>
            </w:r>
            <w:r w:rsidRPr="007A4F2B">
              <w:rPr>
                <w:rFonts w:ascii="Palatino Linotype" w:hAnsi="Palatino Linotype"/>
                <w:i/>
                <w:sz w:val="20"/>
                <w:szCs w:val="20"/>
              </w:rPr>
              <w:t>Garden State LSAMP, Phase III</w:t>
            </w:r>
            <w:r w:rsidRPr="007A4F2B">
              <w:rPr>
                <w:rFonts w:ascii="Palatino Linotype" w:hAnsi="Palatino Linotype"/>
                <w:i/>
                <w:sz w:val="20"/>
                <w:szCs w:val="20"/>
              </w:rPr>
              <w:tab/>
            </w:r>
            <w:r w:rsidRPr="007A4F2B">
              <w:rPr>
                <w:rFonts w:ascii="Palatino Linotype" w:hAnsi="Palatino Linotype"/>
                <w:i/>
                <w:sz w:val="20"/>
                <w:szCs w:val="20"/>
              </w:rPr>
              <w:br/>
            </w:r>
            <w:r w:rsidRPr="009F7610">
              <w:rPr>
                <w:rFonts w:ascii="Palatino Linotype" w:hAnsi="Palatino Linotype"/>
                <w:sz w:val="20"/>
                <w:szCs w:val="20"/>
              </w:rPr>
              <w:t>$316,195</w:t>
            </w:r>
          </w:p>
          <w:p w:rsidR="007A4F2B" w:rsidRPr="009F7610" w:rsidRDefault="007A4F2B" w:rsidP="007A4F2B">
            <w:pPr>
              <w:rPr>
                <w:rFonts w:ascii="Palatino Linotype" w:hAnsi="Palatino Linotype"/>
                <w:sz w:val="20"/>
                <w:szCs w:val="20"/>
              </w:rPr>
            </w:pPr>
            <w:r w:rsidRPr="007A4F2B">
              <w:rPr>
                <w:rFonts w:ascii="Palatino Linotype" w:hAnsi="Palatino Linotype"/>
                <w:b/>
                <w:sz w:val="20"/>
                <w:szCs w:val="20"/>
                <w:u w:val="single"/>
              </w:rPr>
              <w:t>Holly Seplocha</w:t>
            </w:r>
            <w:r w:rsidRPr="007A4F2B">
              <w:rPr>
                <w:rFonts w:ascii="Palatino Linotype" w:hAnsi="Palatino Linotype"/>
                <w:b/>
                <w:sz w:val="20"/>
                <w:szCs w:val="20"/>
                <w:u w:val="single"/>
              </w:rPr>
              <w:br/>
            </w:r>
            <w:r w:rsidRPr="009F7610">
              <w:rPr>
                <w:rFonts w:ascii="Palatino Linotype" w:hAnsi="Palatino Linotype"/>
                <w:sz w:val="20"/>
                <w:szCs w:val="20"/>
              </w:rPr>
              <w:t>College of Education</w:t>
            </w:r>
            <w:r w:rsidRPr="009F7610">
              <w:rPr>
                <w:rFonts w:ascii="Palatino Linotype" w:hAnsi="Palatino Linotype"/>
                <w:sz w:val="20"/>
                <w:szCs w:val="20"/>
              </w:rPr>
              <w:tab/>
            </w:r>
            <w:r w:rsidRPr="009F7610">
              <w:rPr>
                <w:rFonts w:ascii="Palatino Linotype" w:hAnsi="Palatino Linotype"/>
                <w:sz w:val="20"/>
                <w:szCs w:val="20"/>
              </w:rPr>
              <w:br/>
            </w:r>
            <w:r w:rsidRPr="007A4F2B">
              <w:rPr>
                <w:rFonts w:ascii="Palatino Linotype" w:hAnsi="Palatino Linotype"/>
                <w:b/>
                <w:i/>
                <w:sz w:val="20"/>
                <w:szCs w:val="20"/>
              </w:rPr>
              <w:t>NJ Department of Education</w:t>
            </w:r>
            <w:r w:rsidRPr="007A4F2B">
              <w:rPr>
                <w:rFonts w:ascii="Palatino Linotype" w:hAnsi="Palatino Linotype"/>
                <w:b/>
                <w:i/>
                <w:sz w:val="20"/>
                <w:szCs w:val="20"/>
              </w:rPr>
              <w:tab/>
            </w:r>
            <w:r w:rsidRPr="007A4F2B">
              <w:rPr>
                <w:rFonts w:ascii="Palatino Linotype" w:hAnsi="Palatino Linotype"/>
                <w:b/>
                <w:i/>
                <w:sz w:val="20"/>
                <w:szCs w:val="20"/>
              </w:rPr>
              <w:tab/>
            </w:r>
            <w:r w:rsidRPr="007A4F2B">
              <w:rPr>
                <w:rFonts w:ascii="Palatino Linotype" w:hAnsi="Palatino Linotype"/>
                <w:b/>
                <w:i/>
                <w:sz w:val="20"/>
                <w:szCs w:val="20"/>
              </w:rPr>
              <w:br/>
            </w:r>
            <w:r w:rsidRPr="007A4F2B">
              <w:rPr>
                <w:rFonts w:ascii="Palatino Linotype" w:hAnsi="Palatino Linotype"/>
                <w:i/>
                <w:sz w:val="20"/>
                <w:szCs w:val="20"/>
              </w:rPr>
              <w:t>RTT GrowNJ Kids Ratings Project: NJ Center for Quality Ratings, FY19 Additional</w:t>
            </w:r>
            <w:r w:rsidRPr="009F7610">
              <w:rPr>
                <w:rFonts w:ascii="Palatino Linotype" w:hAnsi="Palatino Linotype"/>
                <w:sz w:val="20"/>
                <w:szCs w:val="20"/>
              </w:rPr>
              <w:tab/>
            </w:r>
            <w:r w:rsidRPr="007A4F2B">
              <w:rPr>
                <w:rFonts w:ascii="Palatino Linotype" w:hAnsi="Palatino Linotype"/>
                <w:i/>
                <w:sz w:val="20"/>
                <w:szCs w:val="20"/>
              </w:rPr>
              <w:t>Funding</w:t>
            </w:r>
            <w:r w:rsidRPr="009F7610">
              <w:rPr>
                <w:rFonts w:ascii="Palatino Linotype" w:hAnsi="Palatino Linotype"/>
                <w:sz w:val="20"/>
                <w:szCs w:val="20"/>
              </w:rPr>
              <w:br/>
              <w:t>$280,000</w:t>
            </w:r>
          </w:p>
          <w:p w:rsidR="007A4F2B" w:rsidRPr="009F7610" w:rsidRDefault="00CA36BF" w:rsidP="007A4F2B">
            <w:pPr>
              <w:rPr>
                <w:rFonts w:ascii="Palatino Linotype" w:hAnsi="Palatino Linotype"/>
                <w:sz w:val="20"/>
                <w:szCs w:val="20"/>
              </w:rPr>
            </w:pPr>
            <w:r w:rsidRPr="00E67E0A">
              <w:rPr>
                <w:rFonts w:ascii="Palatino Linotype" w:hAnsi="Palatino Linotype"/>
                <w:b/>
                <w:sz w:val="20"/>
                <w:szCs w:val="20"/>
                <w:u w:val="single"/>
              </w:rPr>
              <w:t>Naa-Solo Tettey</w:t>
            </w:r>
            <w:r w:rsidRPr="00E67E0A">
              <w:rPr>
                <w:rFonts w:ascii="Palatino Linotype" w:hAnsi="Palatino Linotype"/>
                <w:sz w:val="20"/>
                <w:szCs w:val="20"/>
              </w:rPr>
              <w:br/>
              <w:t>College of Science and Health</w:t>
            </w:r>
            <w:r w:rsidRPr="00E67E0A">
              <w:rPr>
                <w:rFonts w:ascii="Palatino Linotype" w:hAnsi="Palatino Linotype"/>
                <w:sz w:val="20"/>
                <w:szCs w:val="20"/>
              </w:rPr>
              <w:tab/>
            </w:r>
            <w:r w:rsidRPr="00E67E0A">
              <w:rPr>
                <w:rFonts w:ascii="Palatino Linotype" w:hAnsi="Palatino Linotype"/>
                <w:sz w:val="20"/>
                <w:szCs w:val="20"/>
              </w:rPr>
              <w:br/>
            </w:r>
            <w:r w:rsidR="007A4F2B" w:rsidRPr="007A4F2B">
              <w:rPr>
                <w:rFonts w:ascii="Palatino Linotype" w:hAnsi="Palatino Linotype"/>
                <w:b/>
                <w:i/>
                <w:sz w:val="20"/>
                <w:szCs w:val="20"/>
              </w:rPr>
              <w:t>American Heart Association</w:t>
            </w:r>
            <w:r w:rsidR="007A4F2B" w:rsidRPr="009F7610">
              <w:rPr>
                <w:rFonts w:ascii="Palatino Linotype" w:hAnsi="Palatino Linotype"/>
                <w:sz w:val="20"/>
                <w:szCs w:val="20"/>
              </w:rPr>
              <w:tab/>
            </w:r>
            <w:r w:rsidR="007A4F2B" w:rsidRPr="009F7610">
              <w:rPr>
                <w:rFonts w:ascii="Palatino Linotype" w:hAnsi="Palatino Linotype"/>
                <w:sz w:val="20"/>
                <w:szCs w:val="20"/>
              </w:rPr>
              <w:tab/>
            </w:r>
            <w:r w:rsidR="007A4F2B" w:rsidRPr="009F7610">
              <w:rPr>
                <w:rFonts w:ascii="Palatino Linotype" w:hAnsi="Palatino Linotype"/>
                <w:sz w:val="20"/>
                <w:szCs w:val="20"/>
              </w:rPr>
              <w:br/>
            </w:r>
            <w:r w:rsidR="007A4F2B" w:rsidRPr="007A4F2B">
              <w:rPr>
                <w:rFonts w:ascii="Palatino Linotype" w:hAnsi="Palatino Linotype"/>
                <w:i/>
                <w:sz w:val="20"/>
                <w:szCs w:val="20"/>
              </w:rPr>
              <w:t>HeartSmarts and Healthy for Life</w:t>
            </w:r>
            <w:r w:rsidR="007A4F2B" w:rsidRPr="009F7610">
              <w:rPr>
                <w:rFonts w:ascii="Palatino Linotype" w:hAnsi="Palatino Linotype"/>
                <w:sz w:val="20"/>
                <w:szCs w:val="20"/>
              </w:rPr>
              <w:tab/>
            </w:r>
            <w:r w:rsidR="007A4F2B" w:rsidRPr="009F7610">
              <w:rPr>
                <w:rFonts w:ascii="Palatino Linotype" w:hAnsi="Palatino Linotype"/>
                <w:sz w:val="20"/>
                <w:szCs w:val="20"/>
              </w:rPr>
              <w:br/>
              <w:t>$2,500</w:t>
            </w:r>
            <w:r w:rsidR="007A4F2B" w:rsidRPr="009F7610">
              <w:rPr>
                <w:rFonts w:ascii="Palatino Linotype" w:hAnsi="Palatino Linotype"/>
                <w:sz w:val="20"/>
                <w:szCs w:val="20"/>
              </w:rPr>
              <w:tab/>
            </w:r>
            <w:r w:rsidR="007A4F2B" w:rsidRPr="009F7610">
              <w:rPr>
                <w:rFonts w:ascii="Palatino Linotype" w:hAnsi="Palatino Linotype"/>
                <w:sz w:val="20"/>
                <w:szCs w:val="20"/>
              </w:rPr>
              <w:tab/>
            </w:r>
            <w:r w:rsidR="007A4F2B" w:rsidRPr="009F7610">
              <w:rPr>
                <w:rFonts w:ascii="Palatino Linotype" w:hAnsi="Palatino Linotype"/>
                <w:sz w:val="20"/>
                <w:szCs w:val="20"/>
              </w:rPr>
              <w:tab/>
            </w:r>
            <w:r w:rsidR="007A4F2B" w:rsidRPr="009F7610">
              <w:rPr>
                <w:rFonts w:ascii="Palatino Linotype" w:hAnsi="Palatino Linotype"/>
                <w:sz w:val="20"/>
                <w:szCs w:val="20"/>
              </w:rPr>
              <w:tab/>
            </w:r>
          </w:p>
          <w:p w:rsidR="00CA36BF" w:rsidRPr="00E67E0A" w:rsidRDefault="00CA36BF" w:rsidP="00CA36BF">
            <w:pPr>
              <w:rPr>
                <w:rFonts w:ascii="Palatino Linotype" w:hAnsi="Palatino Linotype"/>
                <w:sz w:val="20"/>
                <w:szCs w:val="20"/>
              </w:rPr>
            </w:pPr>
          </w:p>
          <w:p w:rsidR="00EA011A" w:rsidRPr="00486F02" w:rsidRDefault="00CA36BF" w:rsidP="00CA36BF">
            <w:pPr>
              <w:rPr>
                <w:rFonts w:ascii="Palatino Linotype" w:hAnsi="Palatino Linotype"/>
                <w:sz w:val="20"/>
                <w:szCs w:val="20"/>
              </w:rPr>
            </w:pPr>
            <w:r w:rsidRPr="00E67E0A">
              <w:rPr>
                <w:rFonts w:ascii="Palatino Linotype" w:hAnsi="Palatino Linotype"/>
                <w:sz w:val="20"/>
                <w:szCs w:val="20"/>
              </w:rPr>
              <w:tab/>
            </w:r>
            <w:r w:rsidRPr="00E67E0A">
              <w:rPr>
                <w:rFonts w:ascii="Palatino Linotype" w:hAnsi="Palatino Linotype"/>
                <w:sz w:val="20"/>
                <w:szCs w:val="20"/>
              </w:rPr>
              <w:tab/>
            </w:r>
            <w:r w:rsidRPr="00E67E0A">
              <w:rPr>
                <w:rFonts w:ascii="Palatino Linotype" w:hAnsi="Palatino Linotype"/>
                <w:sz w:val="20"/>
                <w:szCs w:val="20"/>
              </w:rPr>
              <w:tab/>
            </w:r>
          </w:p>
        </w:tc>
      </w:tr>
      <w:tr w:rsidR="008E6E61" w:rsidRPr="00752727" w:rsidTr="004F7EB5">
        <w:tblPrEx>
          <w:tblBorders>
            <w:insideH w:val="none" w:sz="0" w:space="0" w:color="auto"/>
            <w:insideV w:val="none" w:sz="0" w:space="0" w:color="auto"/>
          </w:tblBorders>
          <w:tblCellMar>
            <w:left w:w="108" w:type="dxa"/>
            <w:right w:w="108" w:type="dxa"/>
          </w:tblCellMar>
        </w:tblPrEx>
        <w:trPr>
          <w:trHeight w:val="360"/>
        </w:trPr>
        <w:tc>
          <w:tcPr>
            <w:tcW w:w="10615" w:type="dxa"/>
            <w:gridSpan w:val="12"/>
            <w:tcBorders>
              <w:top w:val="nil"/>
            </w:tcBorders>
            <w:shd w:val="clear" w:color="auto" w:fill="D9E2F3" w:themeFill="accent5" w:themeFillTint="33"/>
            <w:vAlign w:val="center"/>
          </w:tcPr>
          <w:p w:rsidR="008E6E61" w:rsidRPr="00486F02" w:rsidRDefault="004F7EB5" w:rsidP="004F7EB5">
            <w:pPr>
              <w:spacing w:after="0" w:line="240" w:lineRule="auto"/>
              <w:jc w:val="center"/>
              <w:rPr>
                <w:rFonts w:ascii="Palatino Linotype" w:hAnsi="Palatino Linotype"/>
                <w:sz w:val="20"/>
                <w:szCs w:val="20"/>
              </w:rPr>
            </w:pPr>
            <w:r>
              <w:rPr>
                <w:rFonts w:ascii="Palatino Linotype" w:hAnsi="Palatino Linotype" w:cs="Arial"/>
                <w:b/>
                <w:sz w:val="20"/>
                <w:szCs w:val="20"/>
                <w:u w:val="single"/>
                <w:bdr w:val="none" w:sz="0" w:space="0" w:color="auto" w:frame="1"/>
              </w:rPr>
              <w:t xml:space="preserve">November </w:t>
            </w:r>
            <w:r w:rsidR="008E6E61">
              <w:rPr>
                <w:rFonts w:ascii="Palatino Linotype" w:hAnsi="Palatino Linotype" w:cs="Arial"/>
                <w:b/>
                <w:sz w:val="20"/>
                <w:szCs w:val="20"/>
                <w:u w:val="single"/>
                <w:bdr w:val="none" w:sz="0" w:space="0" w:color="auto" w:frame="1"/>
              </w:rPr>
              <w:t>2018 Awards</w:t>
            </w:r>
          </w:p>
        </w:tc>
      </w:tr>
      <w:tr w:rsidR="008E6E61" w:rsidRPr="00752727" w:rsidTr="004F7EB5">
        <w:tblPrEx>
          <w:tblBorders>
            <w:insideH w:val="none" w:sz="0" w:space="0" w:color="auto"/>
            <w:insideV w:val="none" w:sz="0" w:space="0" w:color="auto"/>
          </w:tblBorders>
          <w:tblCellMar>
            <w:left w:w="108" w:type="dxa"/>
            <w:right w:w="108" w:type="dxa"/>
          </w:tblCellMar>
        </w:tblPrEx>
        <w:trPr>
          <w:trHeight w:val="450"/>
        </w:trPr>
        <w:tc>
          <w:tcPr>
            <w:tcW w:w="5125" w:type="dxa"/>
            <w:gridSpan w:val="7"/>
            <w:tcBorders>
              <w:top w:val="nil"/>
            </w:tcBorders>
            <w:shd w:val="clear" w:color="auto" w:fill="D9E2F3" w:themeFill="accent5" w:themeFillTint="33"/>
          </w:tcPr>
          <w:p w:rsidR="007A4F2B" w:rsidRPr="009F7610" w:rsidRDefault="007A4F2B" w:rsidP="007A4F2B">
            <w:pPr>
              <w:rPr>
                <w:rFonts w:ascii="Palatino Linotype" w:hAnsi="Palatino Linotype"/>
                <w:sz w:val="20"/>
                <w:szCs w:val="20"/>
              </w:rPr>
            </w:pPr>
            <w:r w:rsidRPr="007A4F2B">
              <w:rPr>
                <w:rFonts w:ascii="Palatino Linotype" w:hAnsi="Palatino Linotype"/>
                <w:b/>
                <w:sz w:val="20"/>
                <w:szCs w:val="20"/>
                <w:u w:val="single"/>
              </w:rPr>
              <w:t>William Kernan</w:t>
            </w:r>
            <w:r w:rsidRPr="009F7610">
              <w:rPr>
                <w:rFonts w:ascii="Palatino Linotype" w:hAnsi="Palatino Linotype"/>
                <w:sz w:val="20"/>
                <w:szCs w:val="20"/>
              </w:rPr>
              <w:br/>
              <w:t>College of Science and Health</w:t>
            </w:r>
            <w:r w:rsidRPr="009F7610">
              <w:rPr>
                <w:rFonts w:ascii="Palatino Linotype" w:hAnsi="Palatino Linotype"/>
                <w:sz w:val="20"/>
                <w:szCs w:val="20"/>
              </w:rPr>
              <w:tab/>
            </w:r>
            <w:r w:rsidRPr="009F7610">
              <w:rPr>
                <w:rFonts w:ascii="Palatino Linotype" w:hAnsi="Palatino Linotype"/>
                <w:sz w:val="20"/>
                <w:szCs w:val="20"/>
              </w:rPr>
              <w:br/>
            </w:r>
            <w:r w:rsidRPr="007A4F2B">
              <w:rPr>
                <w:rFonts w:ascii="Palatino Linotype" w:hAnsi="Palatino Linotype"/>
                <w:b/>
                <w:i/>
                <w:sz w:val="20"/>
                <w:szCs w:val="20"/>
              </w:rPr>
              <w:t>New Jersey Department of Health, Division of Community Health Services through a subaward from New Jersey Prevention Network (NJPN)</w:t>
            </w:r>
            <w:r w:rsidRPr="007A4F2B">
              <w:rPr>
                <w:rFonts w:ascii="Palatino Linotype" w:hAnsi="Palatino Linotype"/>
                <w:b/>
                <w:i/>
                <w:sz w:val="20"/>
                <w:szCs w:val="20"/>
              </w:rPr>
              <w:tab/>
            </w:r>
            <w:r w:rsidRPr="009F7610">
              <w:rPr>
                <w:rFonts w:ascii="Palatino Linotype" w:hAnsi="Palatino Linotype"/>
                <w:sz w:val="20"/>
                <w:szCs w:val="20"/>
              </w:rPr>
              <w:br/>
            </w:r>
            <w:r w:rsidRPr="007A4F2B">
              <w:rPr>
                <w:rFonts w:ascii="Palatino Linotype" w:hAnsi="Palatino Linotype"/>
                <w:i/>
                <w:sz w:val="20"/>
                <w:szCs w:val="20"/>
              </w:rPr>
              <w:t>Passaic County Youth Tobacco Action Team Program</w:t>
            </w:r>
            <w:r>
              <w:rPr>
                <w:rFonts w:ascii="Palatino Linotype" w:hAnsi="Palatino Linotype"/>
                <w:sz w:val="20"/>
                <w:szCs w:val="20"/>
              </w:rPr>
              <w:br/>
            </w:r>
            <w:r w:rsidRPr="009F7610">
              <w:rPr>
                <w:rFonts w:ascii="Palatino Linotype" w:hAnsi="Palatino Linotype"/>
                <w:sz w:val="20"/>
                <w:szCs w:val="20"/>
              </w:rPr>
              <w:t>$20,000</w:t>
            </w:r>
          </w:p>
          <w:p w:rsidR="007A4F2B" w:rsidRPr="009F7610" w:rsidRDefault="007A4F2B" w:rsidP="007A4F2B">
            <w:pPr>
              <w:rPr>
                <w:rFonts w:ascii="Palatino Linotype" w:hAnsi="Palatino Linotype"/>
                <w:sz w:val="20"/>
                <w:szCs w:val="20"/>
              </w:rPr>
            </w:pPr>
            <w:r w:rsidRPr="007A4F2B">
              <w:rPr>
                <w:rFonts w:ascii="Palatino Linotype" w:hAnsi="Palatino Linotype"/>
                <w:b/>
                <w:sz w:val="20"/>
                <w:szCs w:val="20"/>
                <w:u w:val="single"/>
              </w:rPr>
              <w:t>Nancy Norris-Bauer</w:t>
            </w:r>
            <w:r w:rsidRPr="009F7610">
              <w:rPr>
                <w:rFonts w:ascii="Palatino Linotype" w:hAnsi="Palatino Linotype"/>
                <w:sz w:val="20"/>
                <w:szCs w:val="20"/>
              </w:rPr>
              <w:br/>
              <w:t>College of Education</w:t>
            </w:r>
            <w:r w:rsidRPr="009F7610">
              <w:rPr>
                <w:rFonts w:ascii="Palatino Linotype" w:hAnsi="Palatino Linotype"/>
                <w:sz w:val="20"/>
                <w:szCs w:val="20"/>
              </w:rPr>
              <w:tab/>
            </w:r>
            <w:r w:rsidRPr="009F7610">
              <w:rPr>
                <w:rFonts w:ascii="Palatino Linotype" w:hAnsi="Palatino Linotype"/>
                <w:sz w:val="20"/>
                <w:szCs w:val="20"/>
              </w:rPr>
              <w:br/>
            </w:r>
            <w:r w:rsidRPr="007A4F2B">
              <w:rPr>
                <w:rFonts w:ascii="Palatino Linotype" w:hAnsi="Palatino Linotype"/>
                <w:b/>
                <w:i/>
                <w:sz w:val="20"/>
                <w:szCs w:val="20"/>
              </w:rPr>
              <w:t>NJ Historical Commission</w:t>
            </w:r>
            <w:r w:rsidRPr="007A4F2B">
              <w:rPr>
                <w:rFonts w:ascii="Palatino Linotype" w:hAnsi="Palatino Linotype"/>
                <w:b/>
                <w:i/>
                <w:sz w:val="20"/>
                <w:szCs w:val="20"/>
              </w:rPr>
              <w:tab/>
            </w:r>
            <w:r w:rsidRPr="007A4F2B">
              <w:rPr>
                <w:rFonts w:ascii="Palatino Linotype" w:hAnsi="Palatino Linotype"/>
                <w:b/>
                <w:i/>
                <w:sz w:val="20"/>
                <w:szCs w:val="20"/>
              </w:rPr>
              <w:tab/>
            </w:r>
            <w:r w:rsidRPr="007A4F2B">
              <w:rPr>
                <w:rFonts w:ascii="Palatino Linotype" w:hAnsi="Palatino Linotype"/>
                <w:b/>
                <w:i/>
                <w:sz w:val="20"/>
                <w:szCs w:val="20"/>
              </w:rPr>
              <w:br/>
            </w:r>
            <w:r w:rsidRPr="007A4F2B">
              <w:rPr>
                <w:rFonts w:ascii="Palatino Linotype" w:hAnsi="Palatino Linotype"/>
                <w:i/>
                <w:sz w:val="20"/>
                <w:szCs w:val="20"/>
              </w:rPr>
              <w:t xml:space="preserve">NJ History Day 2019 </w:t>
            </w:r>
            <w:r w:rsidRPr="007A4F2B">
              <w:rPr>
                <w:rFonts w:ascii="Palatino Linotype" w:hAnsi="Palatino Linotype"/>
                <w:i/>
                <w:sz w:val="20"/>
                <w:szCs w:val="20"/>
              </w:rPr>
              <w:br/>
            </w:r>
            <w:r w:rsidRPr="009F7610">
              <w:rPr>
                <w:rFonts w:ascii="Palatino Linotype" w:hAnsi="Palatino Linotype"/>
                <w:sz w:val="20"/>
                <w:szCs w:val="20"/>
              </w:rPr>
              <w:t>$15,000</w:t>
            </w:r>
          </w:p>
          <w:p w:rsidR="007A4F2B" w:rsidRPr="00C87BBB" w:rsidRDefault="007A4F2B" w:rsidP="007A4F2B">
            <w:pPr>
              <w:rPr>
                <w:rFonts w:ascii="Palatino Linotype" w:hAnsi="Palatino Linotype"/>
                <w:b/>
                <w:sz w:val="20"/>
                <w:szCs w:val="20"/>
                <w:u w:val="single"/>
              </w:rPr>
            </w:pPr>
            <w:r w:rsidRPr="007A4F2B">
              <w:rPr>
                <w:rFonts w:ascii="Palatino Linotype" w:hAnsi="Palatino Linotype"/>
                <w:b/>
                <w:sz w:val="20"/>
                <w:szCs w:val="20"/>
                <w:u w:val="single"/>
              </w:rPr>
              <w:t>Carmen Ortiz</w:t>
            </w:r>
            <w:r w:rsidRPr="007A4F2B">
              <w:rPr>
                <w:rFonts w:ascii="Palatino Linotype" w:hAnsi="Palatino Linotype"/>
                <w:b/>
                <w:sz w:val="20"/>
                <w:szCs w:val="20"/>
                <w:u w:val="single"/>
              </w:rPr>
              <w:br/>
            </w:r>
            <w:r w:rsidRPr="009F7610">
              <w:rPr>
                <w:rFonts w:ascii="Palatino Linotype" w:hAnsi="Palatino Linotype"/>
                <w:sz w:val="20"/>
                <w:szCs w:val="20"/>
              </w:rPr>
              <w:t>Academic Affairs</w:t>
            </w:r>
            <w:r w:rsidRPr="009F7610">
              <w:rPr>
                <w:rFonts w:ascii="Palatino Linotype" w:hAnsi="Palatino Linotype"/>
                <w:sz w:val="20"/>
                <w:szCs w:val="20"/>
              </w:rPr>
              <w:br/>
            </w:r>
            <w:r w:rsidRPr="007A4F2B">
              <w:rPr>
                <w:rFonts w:ascii="Palatino Linotype" w:hAnsi="Palatino Linotype"/>
                <w:b/>
                <w:i/>
                <w:sz w:val="20"/>
                <w:szCs w:val="20"/>
              </w:rPr>
              <w:t>NJ Secretary of Higher Education</w:t>
            </w:r>
            <w:r w:rsidRPr="007A4F2B">
              <w:rPr>
                <w:rFonts w:ascii="Palatino Linotype" w:hAnsi="Palatino Linotype"/>
                <w:b/>
                <w:i/>
                <w:sz w:val="20"/>
                <w:szCs w:val="20"/>
              </w:rPr>
              <w:tab/>
            </w:r>
            <w:r w:rsidRPr="007A4F2B">
              <w:rPr>
                <w:rFonts w:ascii="Palatino Linotype" w:hAnsi="Palatino Linotype"/>
                <w:b/>
                <w:i/>
                <w:sz w:val="20"/>
                <w:szCs w:val="20"/>
              </w:rPr>
              <w:tab/>
            </w:r>
            <w:r w:rsidRPr="007A4F2B">
              <w:rPr>
                <w:rFonts w:ascii="Palatino Linotype" w:hAnsi="Palatino Linotype"/>
                <w:b/>
                <w:i/>
                <w:sz w:val="20"/>
                <w:szCs w:val="20"/>
              </w:rPr>
              <w:br/>
            </w:r>
            <w:r w:rsidRPr="007A4F2B">
              <w:rPr>
                <w:rFonts w:ascii="Palatino Linotype" w:hAnsi="Palatino Linotype"/>
                <w:i/>
                <w:sz w:val="20"/>
                <w:szCs w:val="20"/>
              </w:rPr>
              <w:t>Educational Opportunity Fund (EOF), FY2019, Winter Session</w:t>
            </w:r>
            <w:r w:rsidRPr="007A4F2B">
              <w:rPr>
                <w:rFonts w:ascii="Palatino Linotype" w:hAnsi="Palatino Linotype"/>
                <w:i/>
                <w:sz w:val="20"/>
                <w:szCs w:val="20"/>
              </w:rPr>
              <w:tab/>
            </w:r>
            <w:r w:rsidRPr="007A4F2B">
              <w:rPr>
                <w:rFonts w:ascii="Palatino Linotype" w:hAnsi="Palatino Linotype"/>
                <w:i/>
                <w:sz w:val="20"/>
                <w:szCs w:val="20"/>
              </w:rPr>
              <w:br/>
            </w:r>
            <w:r w:rsidRPr="009F7610">
              <w:rPr>
                <w:rFonts w:ascii="Palatino Linotype" w:hAnsi="Palatino Linotype"/>
                <w:sz w:val="20"/>
                <w:szCs w:val="20"/>
              </w:rPr>
              <w:t>$34,350</w:t>
            </w:r>
            <w:r w:rsidRPr="009F7610">
              <w:rPr>
                <w:rFonts w:ascii="Palatino Linotype" w:hAnsi="Palatino Linotype"/>
                <w:sz w:val="20"/>
                <w:szCs w:val="20"/>
              </w:rPr>
              <w:tab/>
            </w:r>
            <w:r w:rsidRPr="009F7610">
              <w:rPr>
                <w:rFonts w:ascii="Palatino Linotype" w:hAnsi="Palatino Linotype"/>
                <w:sz w:val="20"/>
                <w:szCs w:val="20"/>
              </w:rPr>
              <w:tab/>
            </w:r>
          </w:p>
        </w:tc>
        <w:tc>
          <w:tcPr>
            <w:tcW w:w="5490" w:type="dxa"/>
            <w:gridSpan w:val="5"/>
            <w:tcBorders>
              <w:top w:val="nil"/>
            </w:tcBorders>
            <w:shd w:val="clear" w:color="auto" w:fill="D9E2F3" w:themeFill="accent5" w:themeFillTint="33"/>
          </w:tcPr>
          <w:p w:rsidR="008E6E61" w:rsidRPr="00486F02" w:rsidRDefault="008E6E61" w:rsidP="00CA36BF">
            <w:pPr>
              <w:spacing w:after="0" w:line="240" w:lineRule="auto"/>
              <w:rPr>
                <w:rFonts w:ascii="Palatino Linotype" w:hAnsi="Palatino Linotype"/>
                <w:sz w:val="20"/>
                <w:szCs w:val="20"/>
              </w:rPr>
            </w:pPr>
          </w:p>
        </w:tc>
      </w:tr>
      <w:tr w:rsidR="00825403" w:rsidRPr="00752727" w:rsidTr="00825403">
        <w:trPr>
          <w:trHeight w:hRule="exact" w:val="288"/>
        </w:trPr>
        <w:tc>
          <w:tcPr>
            <w:tcW w:w="1255" w:type="dxa"/>
            <w:vMerge w:val="restart"/>
            <w:vAlign w:val="center"/>
          </w:tcPr>
          <w:p w:rsidR="00825403" w:rsidRPr="00752727" w:rsidRDefault="003953A9" w:rsidP="00EA011A">
            <w:pPr>
              <w:spacing w:after="0" w:line="240" w:lineRule="auto"/>
              <w:jc w:val="center"/>
            </w:pPr>
            <w:hyperlink r:id="rId28" w:history="1">
              <w:r w:rsidR="00825403" w:rsidRPr="00752727">
                <w:rPr>
                  <w:color w:val="0000FF"/>
                  <w:sz w:val="24"/>
                  <w:szCs w:val="24"/>
                  <w:u w:val="single"/>
                </w:rPr>
                <w:t>Workshops Calendar</w:t>
              </w:r>
            </w:hyperlink>
          </w:p>
        </w:tc>
        <w:tc>
          <w:tcPr>
            <w:tcW w:w="1440" w:type="dxa"/>
            <w:gridSpan w:val="2"/>
            <w:vMerge w:val="restart"/>
            <w:vAlign w:val="center"/>
          </w:tcPr>
          <w:p w:rsidR="00825403" w:rsidRPr="00752727" w:rsidRDefault="003953A9" w:rsidP="00EA011A">
            <w:pPr>
              <w:spacing w:after="0" w:line="240" w:lineRule="auto"/>
              <w:jc w:val="center"/>
            </w:pPr>
            <w:hyperlink r:id="rId29" w:history="1">
              <w:r w:rsidR="00825403" w:rsidRPr="00752727">
                <w:rPr>
                  <w:color w:val="0000FF"/>
                  <w:sz w:val="24"/>
                  <w:szCs w:val="24"/>
                  <w:u w:val="single"/>
                </w:rPr>
                <w:t>Institutional Review Board</w:t>
              </w:r>
            </w:hyperlink>
          </w:p>
        </w:tc>
        <w:tc>
          <w:tcPr>
            <w:tcW w:w="1350" w:type="dxa"/>
            <w:gridSpan w:val="3"/>
            <w:vMerge w:val="restart"/>
            <w:vAlign w:val="center"/>
          </w:tcPr>
          <w:p w:rsidR="00825403" w:rsidRPr="00752727" w:rsidRDefault="003953A9" w:rsidP="00EA011A">
            <w:pPr>
              <w:spacing w:after="0" w:line="240" w:lineRule="auto"/>
              <w:jc w:val="center"/>
              <w:rPr>
                <w:color w:val="0000FF"/>
                <w:sz w:val="24"/>
                <w:szCs w:val="24"/>
                <w:u w:val="single"/>
              </w:rPr>
            </w:pPr>
            <w:hyperlink r:id="rId30" w:history="1">
              <w:r w:rsidR="00825403" w:rsidRPr="00752727">
                <w:rPr>
                  <w:color w:val="0000FF"/>
                  <w:sz w:val="24"/>
                  <w:szCs w:val="24"/>
                  <w:u w:val="single"/>
                </w:rPr>
                <w:t>Preparing Proposals</w:t>
              </w:r>
            </w:hyperlink>
          </w:p>
        </w:tc>
        <w:tc>
          <w:tcPr>
            <w:tcW w:w="1710" w:type="dxa"/>
            <w:gridSpan w:val="2"/>
            <w:vMerge w:val="restart"/>
            <w:vAlign w:val="center"/>
          </w:tcPr>
          <w:p w:rsidR="00825403" w:rsidRPr="00752727" w:rsidRDefault="003953A9" w:rsidP="00EA011A">
            <w:pPr>
              <w:spacing w:after="0" w:line="240" w:lineRule="auto"/>
              <w:jc w:val="center"/>
            </w:pPr>
            <w:hyperlink r:id="rId31" w:history="1">
              <w:r w:rsidR="00825403" w:rsidRPr="00752727">
                <w:rPr>
                  <w:color w:val="0000FF"/>
                  <w:sz w:val="24"/>
                  <w:szCs w:val="24"/>
                  <w:u w:val="single"/>
                </w:rPr>
                <w:t>Proposal Writing Resources</w:t>
              </w:r>
            </w:hyperlink>
          </w:p>
        </w:tc>
        <w:tc>
          <w:tcPr>
            <w:tcW w:w="1710" w:type="dxa"/>
            <w:vMerge w:val="restart"/>
            <w:vAlign w:val="center"/>
          </w:tcPr>
          <w:p w:rsidR="00825403" w:rsidRPr="00752727" w:rsidRDefault="003953A9" w:rsidP="00EA011A">
            <w:pPr>
              <w:spacing w:after="0" w:line="240" w:lineRule="auto"/>
              <w:jc w:val="center"/>
            </w:pPr>
            <w:hyperlink r:id="rId32" w:history="1">
              <w:r w:rsidR="00825403" w:rsidRPr="00752727">
                <w:rPr>
                  <w:color w:val="0000FF"/>
                  <w:sz w:val="24"/>
                  <w:szCs w:val="24"/>
                  <w:u w:val="single"/>
                </w:rPr>
                <w:t>Recent Awards</w:t>
              </w:r>
            </w:hyperlink>
          </w:p>
        </w:tc>
        <w:tc>
          <w:tcPr>
            <w:tcW w:w="3150" w:type="dxa"/>
            <w:gridSpan w:val="3"/>
          </w:tcPr>
          <w:p w:rsidR="00825403" w:rsidRPr="00825403" w:rsidRDefault="00825403" w:rsidP="00825403">
            <w:pPr>
              <w:spacing w:after="0" w:line="240" w:lineRule="auto"/>
              <w:jc w:val="center"/>
              <w:rPr>
                <w:b/>
                <w:bCs/>
                <w:u w:val="single"/>
              </w:rPr>
            </w:pPr>
            <w:r w:rsidRPr="00825403">
              <w:rPr>
                <w:b/>
                <w:bCs/>
                <w:u w:val="single"/>
              </w:rPr>
              <w:t>Office Hours</w:t>
            </w:r>
          </w:p>
          <w:p w:rsidR="00825403" w:rsidRPr="00825403" w:rsidRDefault="00825403" w:rsidP="00D1503F">
            <w:pPr>
              <w:spacing w:after="0" w:line="240" w:lineRule="auto"/>
              <w:rPr>
                <w:b/>
                <w:bCs/>
                <w:u w:val="single"/>
              </w:rPr>
            </w:pPr>
          </w:p>
        </w:tc>
      </w:tr>
      <w:tr w:rsidR="00825403" w:rsidRPr="00752727" w:rsidTr="00825403">
        <w:trPr>
          <w:trHeight w:hRule="exact" w:val="288"/>
        </w:trPr>
        <w:tc>
          <w:tcPr>
            <w:tcW w:w="1255" w:type="dxa"/>
            <w:vMerge/>
            <w:vAlign w:val="center"/>
          </w:tcPr>
          <w:p w:rsidR="00825403" w:rsidRDefault="00825403" w:rsidP="00825403">
            <w:pPr>
              <w:spacing w:after="0" w:line="240" w:lineRule="auto"/>
              <w:jc w:val="center"/>
              <w:rPr>
                <w:color w:val="0000FF"/>
                <w:sz w:val="24"/>
                <w:szCs w:val="24"/>
                <w:u w:val="single"/>
              </w:rPr>
            </w:pPr>
          </w:p>
        </w:tc>
        <w:tc>
          <w:tcPr>
            <w:tcW w:w="1440" w:type="dxa"/>
            <w:gridSpan w:val="2"/>
            <w:vMerge/>
            <w:vAlign w:val="center"/>
          </w:tcPr>
          <w:p w:rsidR="00825403" w:rsidRDefault="00825403" w:rsidP="00825403">
            <w:pPr>
              <w:spacing w:after="0" w:line="240" w:lineRule="auto"/>
              <w:jc w:val="center"/>
              <w:rPr>
                <w:color w:val="0000FF"/>
                <w:sz w:val="24"/>
                <w:szCs w:val="24"/>
                <w:u w:val="single"/>
              </w:rPr>
            </w:pPr>
          </w:p>
        </w:tc>
        <w:tc>
          <w:tcPr>
            <w:tcW w:w="1350" w:type="dxa"/>
            <w:gridSpan w:val="3"/>
            <w:vMerge/>
            <w:vAlign w:val="center"/>
          </w:tcPr>
          <w:p w:rsidR="00825403" w:rsidRDefault="00825403" w:rsidP="00825403">
            <w:pPr>
              <w:spacing w:after="0" w:line="240" w:lineRule="auto"/>
              <w:jc w:val="center"/>
              <w:rPr>
                <w:color w:val="0000FF"/>
                <w:sz w:val="24"/>
                <w:szCs w:val="24"/>
                <w:u w:val="single"/>
              </w:rPr>
            </w:pPr>
          </w:p>
        </w:tc>
        <w:tc>
          <w:tcPr>
            <w:tcW w:w="1710" w:type="dxa"/>
            <w:gridSpan w:val="2"/>
            <w:vMerge/>
            <w:vAlign w:val="center"/>
          </w:tcPr>
          <w:p w:rsidR="00825403" w:rsidRDefault="00825403" w:rsidP="00825403">
            <w:pPr>
              <w:spacing w:after="0" w:line="240" w:lineRule="auto"/>
              <w:jc w:val="center"/>
              <w:rPr>
                <w:color w:val="0000FF"/>
                <w:sz w:val="24"/>
                <w:szCs w:val="24"/>
                <w:u w:val="single"/>
              </w:rPr>
            </w:pPr>
          </w:p>
        </w:tc>
        <w:tc>
          <w:tcPr>
            <w:tcW w:w="1710" w:type="dxa"/>
            <w:vMerge/>
            <w:vAlign w:val="center"/>
          </w:tcPr>
          <w:p w:rsidR="00825403" w:rsidRDefault="00825403" w:rsidP="00825403">
            <w:pPr>
              <w:spacing w:after="0" w:line="240" w:lineRule="auto"/>
              <w:jc w:val="center"/>
              <w:rPr>
                <w:color w:val="0000FF"/>
                <w:sz w:val="24"/>
                <w:szCs w:val="24"/>
                <w:u w:val="single"/>
              </w:rPr>
            </w:pPr>
          </w:p>
        </w:tc>
        <w:tc>
          <w:tcPr>
            <w:tcW w:w="1260" w:type="dxa"/>
            <w:gridSpan w:val="2"/>
          </w:tcPr>
          <w:p w:rsidR="00825403" w:rsidRPr="00825403" w:rsidRDefault="00825403" w:rsidP="00825403">
            <w:pPr>
              <w:spacing w:after="0" w:line="240" w:lineRule="auto"/>
              <w:rPr>
                <w:bCs/>
              </w:rPr>
            </w:pPr>
            <w:r w:rsidRPr="00825403">
              <w:rPr>
                <w:bCs/>
              </w:rPr>
              <w:t xml:space="preserve">Monday  </w:t>
            </w:r>
          </w:p>
        </w:tc>
        <w:tc>
          <w:tcPr>
            <w:tcW w:w="1890" w:type="dxa"/>
          </w:tcPr>
          <w:p w:rsidR="00825403" w:rsidRPr="00825403" w:rsidRDefault="00825403" w:rsidP="00825403">
            <w:pPr>
              <w:spacing w:after="0" w:line="240" w:lineRule="auto"/>
              <w:rPr>
                <w:bCs/>
              </w:rPr>
            </w:pPr>
            <w:r w:rsidRPr="00825403">
              <w:rPr>
                <w:bCs/>
              </w:rPr>
              <w:t>8:30AM – 4:30PM</w:t>
            </w:r>
          </w:p>
          <w:p w:rsidR="00825403" w:rsidRPr="00825403" w:rsidRDefault="00825403" w:rsidP="00825403">
            <w:pPr>
              <w:spacing w:after="0" w:line="240" w:lineRule="auto"/>
              <w:jc w:val="center"/>
              <w:rPr>
                <w:b/>
                <w:bCs/>
                <w:u w:val="single"/>
              </w:rPr>
            </w:pPr>
          </w:p>
        </w:tc>
      </w:tr>
      <w:tr w:rsidR="00825403" w:rsidRPr="00752727" w:rsidTr="00825403">
        <w:trPr>
          <w:trHeight w:hRule="exact" w:val="288"/>
        </w:trPr>
        <w:tc>
          <w:tcPr>
            <w:tcW w:w="1255" w:type="dxa"/>
            <w:vMerge/>
            <w:vAlign w:val="center"/>
          </w:tcPr>
          <w:p w:rsidR="00825403" w:rsidRDefault="00825403" w:rsidP="00825403">
            <w:pPr>
              <w:spacing w:after="0" w:line="240" w:lineRule="auto"/>
              <w:jc w:val="center"/>
              <w:rPr>
                <w:color w:val="0000FF"/>
                <w:sz w:val="24"/>
                <w:szCs w:val="24"/>
                <w:u w:val="single"/>
              </w:rPr>
            </w:pPr>
          </w:p>
        </w:tc>
        <w:tc>
          <w:tcPr>
            <w:tcW w:w="1440" w:type="dxa"/>
            <w:gridSpan w:val="2"/>
            <w:vMerge/>
            <w:vAlign w:val="center"/>
          </w:tcPr>
          <w:p w:rsidR="00825403" w:rsidRDefault="00825403" w:rsidP="00825403">
            <w:pPr>
              <w:spacing w:after="0" w:line="240" w:lineRule="auto"/>
              <w:jc w:val="center"/>
              <w:rPr>
                <w:color w:val="0000FF"/>
                <w:sz w:val="24"/>
                <w:szCs w:val="24"/>
                <w:u w:val="single"/>
              </w:rPr>
            </w:pPr>
          </w:p>
        </w:tc>
        <w:tc>
          <w:tcPr>
            <w:tcW w:w="1350" w:type="dxa"/>
            <w:gridSpan w:val="3"/>
            <w:vMerge/>
            <w:vAlign w:val="center"/>
          </w:tcPr>
          <w:p w:rsidR="00825403" w:rsidRDefault="00825403" w:rsidP="00825403">
            <w:pPr>
              <w:spacing w:after="0" w:line="240" w:lineRule="auto"/>
              <w:jc w:val="center"/>
              <w:rPr>
                <w:color w:val="0000FF"/>
                <w:sz w:val="24"/>
                <w:szCs w:val="24"/>
                <w:u w:val="single"/>
              </w:rPr>
            </w:pPr>
          </w:p>
        </w:tc>
        <w:tc>
          <w:tcPr>
            <w:tcW w:w="1710" w:type="dxa"/>
            <w:gridSpan w:val="2"/>
            <w:vMerge/>
            <w:vAlign w:val="center"/>
          </w:tcPr>
          <w:p w:rsidR="00825403" w:rsidRDefault="00825403" w:rsidP="00825403">
            <w:pPr>
              <w:spacing w:after="0" w:line="240" w:lineRule="auto"/>
              <w:jc w:val="center"/>
              <w:rPr>
                <w:color w:val="0000FF"/>
                <w:sz w:val="24"/>
                <w:szCs w:val="24"/>
                <w:u w:val="single"/>
              </w:rPr>
            </w:pPr>
          </w:p>
        </w:tc>
        <w:tc>
          <w:tcPr>
            <w:tcW w:w="1710" w:type="dxa"/>
            <w:vMerge/>
            <w:vAlign w:val="center"/>
          </w:tcPr>
          <w:p w:rsidR="00825403" w:rsidRDefault="00825403" w:rsidP="00825403">
            <w:pPr>
              <w:spacing w:after="0" w:line="240" w:lineRule="auto"/>
              <w:jc w:val="center"/>
              <w:rPr>
                <w:color w:val="0000FF"/>
                <w:sz w:val="24"/>
                <w:szCs w:val="24"/>
                <w:u w:val="single"/>
              </w:rPr>
            </w:pPr>
          </w:p>
        </w:tc>
        <w:tc>
          <w:tcPr>
            <w:tcW w:w="1260" w:type="dxa"/>
            <w:gridSpan w:val="2"/>
          </w:tcPr>
          <w:p w:rsidR="00825403" w:rsidRPr="00825403" w:rsidRDefault="00825403" w:rsidP="00825403">
            <w:pPr>
              <w:spacing w:after="0" w:line="240" w:lineRule="auto"/>
              <w:rPr>
                <w:b/>
                <w:bCs/>
                <w:u w:val="single"/>
              </w:rPr>
            </w:pPr>
            <w:r w:rsidRPr="00825403">
              <w:rPr>
                <w:bCs/>
              </w:rPr>
              <w:t>Tuesday</w:t>
            </w:r>
          </w:p>
        </w:tc>
        <w:tc>
          <w:tcPr>
            <w:tcW w:w="1890" w:type="dxa"/>
          </w:tcPr>
          <w:p w:rsidR="00825403" w:rsidRPr="00825403" w:rsidRDefault="00825403" w:rsidP="00825403">
            <w:pPr>
              <w:spacing w:after="0" w:line="240" w:lineRule="auto"/>
              <w:rPr>
                <w:bCs/>
              </w:rPr>
            </w:pPr>
            <w:r w:rsidRPr="00825403">
              <w:rPr>
                <w:bCs/>
              </w:rPr>
              <w:t>8:30AM – 4:30PM</w:t>
            </w:r>
          </w:p>
          <w:p w:rsidR="00825403" w:rsidRPr="00825403" w:rsidRDefault="00825403" w:rsidP="00825403">
            <w:pPr>
              <w:spacing w:after="0" w:line="240" w:lineRule="auto"/>
              <w:jc w:val="center"/>
              <w:rPr>
                <w:b/>
                <w:bCs/>
                <w:u w:val="single"/>
              </w:rPr>
            </w:pPr>
          </w:p>
        </w:tc>
      </w:tr>
      <w:tr w:rsidR="00825403" w:rsidRPr="00752727" w:rsidTr="00825403">
        <w:trPr>
          <w:trHeight w:hRule="exact" w:val="288"/>
        </w:trPr>
        <w:tc>
          <w:tcPr>
            <w:tcW w:w="1255" w:type="dxa"/>
            <w:vMerge/>
            <w:vAlign w:val="center"/>
          </w:tcPr>
          <w:p w:rsidR="00825403" w:rsidRDefault="00825403" w:rsidP="00825403">
            <w:pPr>
              <w:spacing w:after="0" w:line="240" w:lineRule="auto"/>
              <w:jc w:val="center"/>
              <w:rPr>
                <w:color w:val="0000FF"/>
                <w:sz w:val="24"/>
                <w:szCs w:val="24"/>
                <w:u w:val="single"/>
              </w:rPr>
            </w:pPr>
          </w:p>
        </w:tc>
        <w:tc>
          <w:tcPr>
            <w:tcW w:w="1440" w:type="dxa"/>
            <w:gridSpan w:val="2"/>
            <w:vMerge/>
            <w:vAlign w:val="center"/>
          </w:tcPr>
          <w:p w:rsidR="00825403" w:rsidRDefault="00825403" w:rsidP="00825403">
            <w:pPr>
              <w:spacing w:after="0" w:line="240" w:lineRule="auto"/>
              <w:jc w:val="center"/>
              <w:rPr>
                <w:color w:val="0000FF"/>
                <w:sz w:val="24"/>
                <w:szCs w:val="24"/>
                <w:u w:val="single"/>
              </w:rPr>
            </w:pPr>
          </w:p>
        </w:tc>
        <w:tc>
          <w:tcPr>
            <w:tcW w:w="1350" w:type="dxa"/>
            <w:gridSpan w:val="3"/>
            <w:vMerge/>
            <w:vAlign w:val="center"/>
          </w:tcPr>
          <w:p w:rsidR="00825403" w:rsidRDefault="00825403" w:rsidP="00825403">
            <w:pPr>
              <w:spacing w:after="0" w:line="240" w:lineRule="auto"/>
              <w:jc w:val="center"/>
              <w:rPr>
                <w:color w:val="0000FF"/>
                <w:sz w:val="24"/>
                <w:szCs w:val="24"/>
                <w:u w:val="single"/>
              </w:rPr>
            </w:pPr>
          </w:p>
        </w:tc>
        <w:tc>
          <w:tcPr>
            <w:tcW w:w="1710" w:type="dxa"/>
            <w:gridSpan w:val="2"/>
            <w:vMerge/>
            <w:vAlign w:val="center"/>
          </w:tcPr>
          <w:p w:rsidR="00825403" w:rsidRDefault="00825403" w:rsidP="00825403">
            <w:pPr>
              <w:spacing w:after="0" w:line="240" w:lineRule="auto"/>
              <w:jc w:val="center"/>
              <w:rPr>
                <w:color w:val="0000FF"/>
                <w:sz w:val="24"/>
                <w:szCs w:val="24"/>
                <w:u w:val="single"/>
              </w:rPr>
            </w:pPr>
          </w:p>
        </w:tc>
        <w:tc>
          <w:tcPr>
            <w:tcW w:w="1710" w:type="dxa"/>
            <w:vMerge/>
            <w:vAlign w:val="center"/>
          </w:tcPr>
          <w:p w:rsidR="00825403" w:rsidRDefault="00825403" w:rsidP="00825403">
            <w:pPr>
              <w:spacing w:after="0" w:line="240" w:lineRule="auto"/>
              <w:jc w:val="center"/>
              <w:rPr>
                <w:color w:val="0000FF"/>
                <w:sz w:val="24"/>
                <w:szCs w:val="24"/>
                <w:u w:val="single"/>
              </w:rPr>
            </w:pPr>
          </w:p>
        </w:tc>
        <w:tc>
          <w:tcPr>
            <w:tcW w:w="1260" w:type="dxa"/>
            <w:gridSpan w:val="2"/>
          </w:tcPr>
          <w:p w:rsidR="00825403" w:rsidRPr="00825403" w:rsidRDefault="00825403" w:rsidP="00825403">
            <w:pPr>
              <w:spacing w:after="0" w:line="240" w:lineRule="auto"/>
              <w:rPr>
                <w:bCs/>
              </w:rPr>
            </w:pPr>
            <w:r w:rsidRPr="00825403">
              <w:rPr>
                <w:bCs/>
              </w:rPr>
              <w:t xml:space="preserve">Wednesday  </w:t>
            </w:r>
          </w:p>
        </w:tc>
        <w:tc>
          <w:tcPr>
            <w:tcW w:w="1890" w:type="dxa"/>
          </w:tcPr>
          <w:p w:rsidR="00825403" w:rsidRPr="00825403" w:rsidRDefault="00825403" w:rsidP="00825403">
            <w:pPr>
              <w:spacing w:after="0" w:line="240" w:lineRule="auto"/>
              <w:rPr>
                <w:bCs/>
              </w:rPr>
            </w:pPr>
            <w:r w:rsidRPr="00825403">
              <w:rPr>
                <w:bCs/>
              </w:rPr>
              <w:t>8:30AM – 4:30PM</w:t>
            </w:r>
          </w:p>
          <w:p w:rsidR="00825403" w:rsidRPr="00825403" w:rsidRDefault="00825403" w:rsidP="00825403">
            <w:pPr>
              <w:spacing w:after="0" w:line="240" w:lineRule="auto"/>
              <w:jc w:val="center"/>
              <w:rPr>
                <w:b/>
                <w:bCs/>
                <w:u w:val="single"/>
              </w:rPr>
            </w:pPr>
          </w:p>
        </w:tc>
      </w:tr>
      <w:tr w:rsidR="00825403" w:rsidRPr="00752727" w:rsidTr="00825403">
        <w:trPr>
          <w:trHeight w:hRule="exact" w:val="288"/>
        </w:trPr>
        <w:tc>
          <w:tcPr>
            <w:tcW w:w="1255" w:type="dxa"/>
            <w:vMerge/>
            <w:vAlign w:val="center"/>
          </w:tcPr>
          <w:p w:rsidR="00825403" w:rsidRDefault="00825403" w:rsidP="00825403">
            <w:pPr>
              <w:spacing w:after="0" w:line="240" w:lineRule="auto"/>
              <w:jc w:val="center"/>
              <w:rPr>
                <w:color w:val="0000FF"/>
                <w:sz w:val="24"/>
                <w:szCs w:val="24"/>
                <w:u w:val="single"/>
              </w:rPr>
            </w:pPr>
          </w:p>
        </w:tc>
        <w:tc>
          <w:tcPr>
            <w:tcW w:w="1440" w:type="dxa"/>
            <w:gridSpan w:val="2"/>
            <w:vMerge/>
            <w:vAlign w:val="center"/>
          </w:tcPr>
          <w:p w:rsidR="00825403" w:rsidRDefault="00825403" w:rsidP="00825403">
            <w:pPr>
              <w:spacing w:after="0" w:line="240" w:lineRule="auto"/>
              <w:jc w:val="center"/>
              <w:rPr>
                <w:color w:val="0000FF"/>
                <w:sz w:val="24"/>
                <w:szCs w:val="24"/>
                <w:u w:val="single"/>
              </w:rPr>
            </w:pPr>
          </w:p>
        </w:tc>
        <w:tc>
          <w:tcPr>
            <w:tcW w:w="1350" w:type="dxa"/>
            <w:gridSpan w:val="3"/>
            <w:vMerge/>
            <w:vAlign w:val="center"/>
          </w:tcPr>
          <w:p w:rsidR="00825403" w:rsidRDefault="00825403" w:rsidP="00825403">
            <w:pPr>
              <w:spacing w:after="0" w:line="240" w:lineRule="auto"/>
              <w:jc w:val="center"/>
              <w:rPr>
                <w:color w:val="0000FF"/>
                <w:sz w:val="24"/>
                <w:szCs w:val="24"/>
                <w:u w:val="single"/>
              </w:rPr>
            </w:pPr>
          </w:p>
        </w:tc>
        <w:tc>
          <w:tcPr>
            <w:tcW w:w="1710" w:type="dxa"/>
            <w:gridSpan w:val="2"/>
            <w:vMerge/>
            <w:vAlign w:val="center"/>
          </w:tcPr>
          <w:p w:rsidR="00825403" w:rsidRDefault="00825403" w:rsidP="00825403">
            <w:pPr>
              <w:spacing w:after="0" w:line="240" w:lineRule="auto"/>
              <w:jc w:val="center"/>
              <w:rPr>
                <w:color w:val="0000FF"/>
                <w:sz w:val="24"/>
                <w:szCs w:val="24"/>
                <w:u w:val="single"/>
              </w:rPr>
            </w:pPr>
          </w:p>
        </w:tc>
        <w:tc>
          <w:tcPr>
            <w:tcW w:w="1710" w:type="dxa"/>
            <w:vMerge/>
            <w:vAlign w:val="center"/>
          </w:tcPr>
          <w:p w:rsidR="00825403" w:rsidRDefault="00825403" w:rsidP="00825403">
            <w:pPr>
              <w:spacing w:after="0" w:line="240" w:lineRule="auto"/>
              <w:jc w:val="center"/>
              <w:rPr>
                <w:color w:val="0000FF"/>
                <w:sz w:val="24"/>
                <w:szCs w:val="24"/>
                <w:u w:val="single"/>
              </w:rPr>
            </w:pPr>
          </w:p>
        </w:tc>
        <w:tc>
          <w:tcPr>
            <w:tcW w:w="1260" w:type="dxa"/>
            <w:gridSpan w:val="2"/>
          </w:tcPr>
          <w:p w:rsidR="00825403" w:rsidRPr="00825403" w:rsidRDefault="00825403" w:rsidP="00825403">
            <w:pPr>
              <w:spacing w:after="0" w:line="240" w:lineRule="auto"/>
              <w:rPr>
                <w:bCs/>
              </w:rPr>
            </w:pPr>
            <w:r w:rsidRPr="00825403">
              <w:rPr>
                <w:bCs/>
              </w:rPr>
              <w:t>Thursday</w:t>
            </w:r>
          </w:p>
        </w:tc>
        <w:tc>
          <w:tcPr>
            <w:tcW w:w="1890" w:type="dxa"/>
          </w:tcPr>
          <w:p w:rsidR="00825403" w:rsidRPr="00825403" w:rsidRDefault="00825403" w:rsidP="00825403">
            <w:pPr>
              <w:spacing w:after="0" w:line="240" w:lineRule="auto"/>
              <w:rPr>
                <w:bCs/>
              </w:rPr>
            </w:pPr>
            <w:r w:rsidRPr="00825403">
              <w:rPr>
                <w:bCs/>
              </w:rPr>
              <w:t>8:30AM – 4:30PM</w:t>
            </w:r>
          </w:p>
          <w:p w:rsidR="00825403" w:rsidRPr="00825403" w:rsidRDefault="00825403" w:rsidP="00825403">
            <w:pPr>
              <w:spacing w:after="0" w:line="240" w:lineRule="auto"/>
              <w:jc w:val="center"/>
              <w:rPr>
                <w:b/>
                <w:bCs/>
                <w:u w:val="single"/>
              </w:rPr>
            </w:pPr>
          </w:p>
        </w:tc>
      </w:tr>
      <w:tr w:rsidR="00825403" w:rsidRPr="00752727" w:rsidTr="00825403">
        <w:trPr>
          <w:trHeight w:hRule="exact" w:val="288"/>
        </w:trPr>
        <w:tc>
          <w:tcPr>
            <w:tcW w:w="1255" w:type="dxa"/>
            <w:vMerge/>
            <w:vAlign w:val="center"/>
          </w:tcPr>
          <w:p w:rsidR="00825403" w:rsidRDefault="00825403" w:rsidP="00825403">
            <w:pPr>
              <w:spacing w:after="0" w:line="240" w:lineRule="auto"/>
              <w:jc w:val="center"/>
              <w:rPr>
                <w:color w:val="0000FF"/>
                <w:sz w:val="24"/>
                <w:szCs w:val="24"/>
                <w:u w:val="single"/>
              </w:rPr>
            </w:pPr>
          </w:p>
        </w:tc>
        <w:tc>
          <w:tcPr>
            <w:tcW w:w="1440" w:type="dxa"/>
            <w:gridSpan w:val="2"/>
            <w:vMerge/>
            <w:vAlign w:val="center"/>
          </w:tcPr>
          <w:p w:rsidR="00825403" w:rsidRDefault="00825403" w:rsidP="00825403">
            <w:pPr>
              <w:spacing w:after="0" w:line="240" w:lineRule="auto"/>
              <w:jc w:val="center"/>
              <w:rPr>
                <w:color w:val="0000FF"/>
                <w:sz w:val="24"/>
                <w:szCs w:val="24"/>
                <w:u w:val="single"/>
              </w:rPr>
            </w:pPr>
          </w:p>
        </w:tc>
        <w:tc>
          <w:tcPr>
            <w:tcW w:w="1350" w:type="dxa"/>
            <w:gridSpan w:val="3"/>
            <w:vMerge/>
            <w:vAlign w:val="center"/>
          </w:tcPr>
          <w:p w:rsidR="00825403" w:rsidRDefault="00825403" w:rsidP="00825403">
            <w:pPr>
              <w:spacing w:after="0" w:line="240" w:lineRule="auto"/>
              <w:jc w:val="center"/>
              <w:rPr>
                <w:color w:val="0000FF"/>
                <w:sz w:val="24"/>
                <w:szCs w:val="24"/>
                <w:u w:val="single"/>
              </w:rPr>
            </w:pPr>
          </w:p>
        </w:tc>
        <w:tc>
          <w:tcPr>
            <w:tcW w:w="1710" w:type="dxa"/>
            <w:gridSpan w:val="2"/>
            <w:vMerge/>
            <w:vAlign w:val="center"/>
          </w:tcPr>
          <w:p w:rsidR="00825403" w:rsidRDefault="00825403" w:rsidP="00825403">
            <w:pPr>
              <w:spacing w:after="0" w:line="240" w:lineRule="auto"/>
              <w:jc w:val="center"/>
              <w:rPr>
                <w:color w:val="0000FF"/>
                <w:sz w:val="24"/>
                <w:szCs w:val="24"/>
                <w:u w:val="single"/>
              </w:rPr>
            </w:pPr>
          </w:p>
        </w:tc>
        <w:tc>
          <w:tcPr>
            <w:tcW w:w="1710" w:type="dxa"/>
            <w:vMerge/>
            <w:vAlign w:val="center"/>
          </w:tcPr>
          <w:p w:rsidR="00825403" w:rsidRDefault="00825403" w:rsidP="00825403">
            <w:pPr>
              <w:spacing w:after="0" w:line="240" w:lineRule="auto"/>
              <w:jc w:val="center"/>
              <w:rPr>
                <w:color w:val="0000FF"/>
                <w:sz w:val="24"/>
                <w:szCs w:val="24"/>
                <w:u w:val="single"/>
              </w:rPr>
            </w:pPr>
          </w:p>
        </w:tc>
        <w:tc>
          <w:tcPr>
            <w:tcW w:w="1260" w:type="dxa"/>
            <w:gridSpan w:val="2"/>
          </w:tcPr>
          <w:p w:rsidR="00825403" w:rsidRPr="00825403" w:rsidRDefault="00825403" w:rsidP="00825403">
            <w:pPr>
              <w:spacing w:after="0" w:line="240" w:lineRule="auto"/>
              <w:rPr>
                <w:b/>
                <w:bCs/>
                <w:u w:val="single"/>
              </w:rPr>
            </w:pPr>
            <w:r w:rsidRPr="00825403">
              <w:rPr>
                <w:bCs/>
              </w:rPr>
              <w:t xml:space="preserve">Friday   </w:t>
            </w:r>
          </w:p>
        </w:tc>
        <w:tc>
          <w:tcPr>
            <w:tcW w:w="1890" w:type="dxa"/>
          </w:tcPr>
          <w:p w:rsidR="00825403" w:rsidRPr="00825403" w:rsidRDefault="00825403" w:rsidP="00825403">
            <w:pPr>
              <w:spacing w:after="0" w:line="240" w:lineRule="auto"/>
              <w:rPr>
                <w:b/>
                <w:bCs/>
                <w:u w:val="single"/>
              </w:rPr>
            </w:pPr>
            <w:r w:rsidRPr="00825403">
              <w:rPr>
                <w:bCs/>
              </w:rPr>
              <w:t>8:30AM – 4:30PM</w:t>
            </w:r>
          </w:p>
        </w:tc>
      </w:tr>
    </w:tbl>
    <w:p w:rsidR="00505FC4" w:rsidRDefault="00505FC4" w:rsidP="00505FC4"/>
    <w:p w:rsidR="004A06F4" w:rsidRDefault="004A06F4"/>
    <w:sectPr w:rsidR="004A06F4" w:rsidSect="006C728A">
      <w:pgSz w:w="12240" w:h="15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507" w:rsidRDefault="00D03507">
      <w:pPr>
        <w:spacing w:after="0" w:line="240" w:lineRule="auto"/>
      </w:pPr>
      <w:r>
        <w:separator/>
      </w:r>
    </w:p>
  </w:endnote>
  <w:endnote w:type="continuationSeparator" w:id="0">
    <w:p w:rsidR="00D03507" w:rsidRDefault="00D03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507" w:rsidRDefault="00D03507">
      <w:pPr>
        <w:spacing w:after="0" w:line="240" w:lineRule="auto"/>
      </w:pPr>
      <w:r>
        <w:separator/>
      </w:r>
    </w:p>
  </w:footnote>
  <w:footnote w:type="continuationSeparator" w:id="0">
    <w:p w:rsidR="00D03507" w:rsidRDefault="00D035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B3D3B"/>
    <w:multiLevelType w:val="hybridMultilevel"/>
    <w:tmpl w:val="F0826526"/>
    <w:lvl w:ilvl="0" w:tplc="7BD4ED0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22778"/>
    <w:multiLevelType w:val="multilevel"/>
    <w:tmpl w:val="D6260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BF149B"/>
    <w:multiLevelType w:val="hybridMultilevel"/>
    <w:tmpl w:val="6C36A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03596"/>
    <w:multiLevelType w:val="hybridMultilevel"/>
    <w:tmpl w:val="CBAAE38E"/>
    <w:lvl w:ilvl="0" w:tplc="3458985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708F1"/>
    <w:multiLevelType w:val="hybridMultilevel"/>
    <w:tmpl w:val="81D2E45A"/>
    <w:lvl w:ilvl="0" w:tplc="97B8FBD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760678"/>
    <w:multiLevelType w:val="hybridMultilevel"/>
    <w:tmpl w:val="3A68F8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5E1BE9"/>
    <w:multiLevelType w:val="multilevel"/>
    <w:tmpl w:val="DA06D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807BE8"/>
    <w:multiLevelType w:val="hybridMultilevel"/>
    <w:tmpl w:val="8348F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336D25"/>
    <w:multiLevelType w:val="multilevel"/>
    <w:tmpl w:val="DB7CB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1F53CD"/>
    <w:multiLevelType w:val="multilevel"/>
    <w:tmpl w:val="3B92C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9"/>
    <w:lvlOverride w:ilvl="0">
      <w:startOverride w:val="4"/>
    </w:lvlOverride>
  </w:num>
  <w:num w:numId="6">
    <w:abstractNumId w:val="1"/>
  </w:num>
  <w:num w:numId="7">
    <w:abstractNumId w:val="0"/>
  </w:num>
  <w:num w:numId="8">
    <w:abstractNumId w:val="4"/>
  </w:num>
  <w:num w:numId="9">
    <w:abstractNumId w:val="3"/>
  </w:num>
  <w:num w:numId="10">
    <w:abstractNumId w:val="5"/>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FC4"/>
    <w:rsid w:val="000001E5"/>
    <w:rsid w:val="00000393"/>
    <w:rsid w:val="00003A5D"/>
    <w:rsid w:val="00016193"/>
    <w:rsid w:val="00027FEC"/>
    <w:rsid w:val="000300C6"/>
    <w:rsid w:val="00036D0F"/>
    <w:rsid w:val="0004191A"/>
    <w:rsid w:val="00041944"/>
    <w:rsid w:val="00041AED"/>
    <w:rsid w:val="000428E9"/>
    <w:rsid w:val="000430B5"/>
    <w:rsid w:val="00046708"/>
    <w:rsid w:val="000508EA"/>
    <w:rsid w:val="00051C63"/>
    <w:rsid w:val="0005336C"/>
    <w:rsid w:val="0005587B"/>
    <w:rsid w:val="00062803"/>
    <w:rsid w:val="00080027"/>
    <w:rsid w:val="000823E8"/>
    <w:rsid w:val="000859FA"/>
    <w:rsid w:val="0008774C"/>
    <w:rsid w:val="00092427"/>
    <w:rsid w:val="000A0D6A"/>
    <w:rsid w:val="000A19C0"/>
    <w:rsid w:val="000A26AE"/>
    <w:rsid w:val="000A3006"/>
    <w:rsid w:val="000A648E"/>
    <w:rsid w:val="000A7794"/>
    <w:rsid w:val="000A7B0A"/>
    <w:rsid w:val="000B2A31"/>
    <w:rsid w:val="000B306A"/>
    <w:rsid w:val="000B590B"/>
    <w:rsid w:val="000B7B66"/>
    <w:rsid w:val="000C6701"/>
    <w:rsid w:val="000C6D4E"/>
    <w:rsid w:val="000C6EF3"/>
    <w:rsid w:val="000C76D5"/>
    <w:rsid w:val="000D2B31"/>
    <w:rsid w:val="000E01AE"/>
    <w:rsid w:val="000E1C67"/>
    <w:rsid w:val="000E4E5E"/>
    <w:rsid w:val="000F01FF"/>
    <w:rsid w:val="000F33FD"/>
    <w:rsid w:val="000F5A84"/>
    <w:rsid w:val="00100E3B"/>
    <w:rsid w:val="00105A7A"/>
    <w:rsid w:val="0010677F"/>
    <w:rsid w:val="001103AB"/>
    <w:rsid w:val="00110740"/>
    <w:rsid w:val="00115191"/>
    <w:rsid w:val="0012242A"/>
    <w:rsid w:val="001226E3"/>
    <w:rsid w:val="0012555D"/>
    <w:rsid w:val="00127C98"/>
    <w:rsid w:val="00127F34"/>
    <w:rsid w:val="00130278"/>
    <w:rsid w:val="0013498D"/>
    <w:rsid w:val="001400D9"/>
    <w:rsid w:val="001451D3"/>
    <w:rsid w:val="00153077"/>
    <w:rsid w:val="00153A18"/>
    <w:rsid w:val="0015502E"/>
    <w:rsid w:val="0015764C"/>
    <w:rsid w:val="00157BD2"/>
    <w:rsid w:val="001608A9"/>
    <w:rsid w:val="001611C8"/>
    <w:rsid w:val="0016150D"/>
    <w:rsid w:val="00161CEA"/>
    <w:rsid w:val="001622D6"/>
    <w:rsid w:val="00165CC4"/>
    <w:rsid w:val="00171833"/>
    <w:rsid w:val="00183323"/>
    <w:rsid w:val="001919C3"/>
    <w:rsid w:val="0019230E"/>
    <w:rsid w:val="00192D9B"/>
    <w:rsid w:val="0019636F"/>
    <w:rsid w:val="001A6EBF"/>
    <w:rsid w:val="001C0FD0"/>
    <w:rsid w:val="001C1F10"/>
    <w:rsid w:val="001C5698"/>
    <w:rsid w:val="001C7668"/>
    <w:rsid w:val="001D07BA"/>
    <w:rsid w:val="001D1506"/>
    <w:rsid w:val="001D3554"/>
    <w:rsid w:val="001E030E"/>
    <w:rsid w:val="001E09DD"/>
    <w:rsid w:val="001E2F70"/>
    <w:rsid w:val="001E42FF"/>
    <w:rsid w:val="001E56D4"/>
    <w:rsid w:val="001E7788"/>
    <w:rsid w:val="001E7BDA"/>
    <w:rsid w:val="0020020B"/>
    <w:rsid w:val="002016CF"/>
    <w:rsid w:val="00206741"/>
    <w:rsid w:val="00210CC6"/>
    <w:rsid w:val="00215658"/>
    <w:rsid w:val="002227B1"/>
    <w:rsid w:val="00226F3B"/>
    <w:rsid w:val="00227F0F"/>
    <w:rsid w:val="00232C69"/>
    <w:rsid w:val="00233729"/>
    <w:rsid w:val="00240F68"/>
    <w:rsid w:val="00246CBB"/>
    <w:rsid w:val="00250293"/>
    <w:rsid w:val="00252856"/>
    <w:rsid w:val="002543EA"/>
    <w:rsid w:val="00265D55"/>
    <w:rsid w:val="00266B3A"/>
    <w:rsid w:val="002670E8"/>
    <w:rsid w:val="00272CF9"/>
    <w:rsid w:val="0027628E"/>
    <w:rsid w:val="00280201"/>
    <w:rsid w:val="0028099A"/>
    <w:rsid w:val="00283F3C"/>
    <w:rsid w:val="00283F3E"/>
    <w:rsid w:val="002867C6"/>
    <w:rsid w:val="00286D89"/>
    <w:rsid w:val="002A164A"/>
    <w:rsid w:val="002A56D6"/>
    <w:rsid w:val="002A5C87"/>
    <w:rsid w:val="002B2EA5"/>
    <w:rsid w:val="002B4601"/>
    <w:rsid w:val="002B6256"/>
    <w:rsid w:val="002C0039"/>
    <w:rsid w:val="002C2495"/>
    <w:rsid w:val="002C31A9"/>
    <w:rsid w:val="002D6079"/>
    <w:rsid w:val="002E2518"/>
    <w:rsid w:val="002E4B33"/>
    <w:rsid w:val="002E77DE"/>
    <w:rsid w:val="002F1074"/>
    <w:rsid w:val="002F712B"/>
    <w:rsid w:val="002F7271"/>
    <w:rsid w:val="002F7477"/>
    <w:rsid w:val="0030167C"/>
    <w:rsid w:val="00301934"/>
    <w:rsid w:val="00301AE7"/>
    <w:rsid w:val="00302429"/>
    <w:rsid w:val="00311B8C"/>
    <w:rsid w:val="00314D2C"/>
    <w:rsid w:val="00315581"/>
    <w:rsid w:val="003160B4"/>
    <w:rsid w:val="003176B2"/>
    <w:rsid w:val="0032101F"/>
    <w:rsid w:val="003253F2"/>
    <w:rsid w:val="00325828"/>
    <w:rsid w:val="00333681"/>
    <w:rsid w:val="0033370D"/>
    <w:rsid w:val="0033377D"/>
    <w:rsid w:val="00333D6D"/>
    <w:rsid w:val="00334A2E"/>
    <w:rsid w:val="00340297"/>
    <w:rsid w:val="00340624"/>
    <w:rsid w:val="0034466A"/>
    <w:rsid w:val="00345E44"/>
    <w:rsid w:val="00347F31"/>
    <w:rsid w:val="00351C16"/>
    <w:rsid w:val="00353841"/>
    <w:rsid w:val="00356BE7"/>
    <w:rsid w:val="00357818"/>
    <w:rsid w:val="0036062D"/>
    <w:rsid w:val="00360D8C"/>
    <w:rsid w:val="0036103A"/>
    <w:rsid w:val="0036261C"/>
    <w:rsid w:val="00365735"/>
    <w:rsid w:val="003708F1"/>
    <w:rsid w:val="00376A22"/>
    <w:rsid w:val="00377B23"/>
    <w:rsid w:val="00383776"/>
    <w:rsid w:val="00384DEC"/>
    <w:rsid w:val="003953A9"/>
    <w:rsid w:val="003A44E0"/>
    <w:rsid w:val="003B182C"/>
    <w:rsid w:val="003B1E0E"/>
    <w:rsid w:val="003B2099"/>
    <w:rsid w:val="003B4FEB"/>
    <w:rsid w:val="003B6049"/>
    <w:rsid w:val="003C2B7D"/>
    <w:rsid w:val="003C2E70"/>
    <w:rsid w:val="003C3032"/>
    <w:rsid w:val="003D739E"/>
    <w:rsid w:val="003E5765"/>
    <w:rsid w:val="003E6417"/>
    <w:rsid w:val="003F2DAC"/>
    <w:rsid w:val="003F3E5E"/>
    <w:rsid w:val="003F4BB5"/>
    <w:rsid w:val="003F7855"/>
    <w:rsid w:val="00401B5D"/>
    <w:rsid w:val="0040316E"/>
    <w:rsid w:val="0040431E"/>
    <w:rsid w:val="004054B8"/>
    <w:rsid w:val="00420779"/>
    <w:rsid w:val="004234F7"/>
    <w:rsid w:val="00431A91"/>
    <w:rsid w:val="00435014"/>
    <w:rsid w:val="00436E33"/>
    <w:rsid w:val="00452317"/>
    <w:rsid w:val="00454232"/>
    <w:rsid w:val="004575B3"/>
    <w:rsid w:val="00457E03"/>
    <w:rsid w:val="00460D35"/>
    <w:rsid w:val="00462575"/>
    <w:rsid w:val="00464D04"/>
    <w:rsid w:val="004677DA"/>
    <w:rsid w:val="0047121E"/>
    <w:rsid w:val="0047316D"/>
    <w:rsid w:val="004735BE"/>
    <w:rsid w:val="00474DFF"/>
    <w:rsid w:val="0048064B"/>
    <w:rsid w:val="00483C77"/>
    <w:rsid w:val="00486F02"/>
    <w:rsid w:val="00490173"/>
    <w:rsid w:val="00492EC2"/>
    <w:rsid w:val="00493503"/>
    <w:rsid w:val="004A06F4"/>
    <w:rsid w:val="004A408F"/>
    <w:rsid w:val="004A445D"/>
    <w:rsid w:val="004A4EB2"/>
    <w:rsid w:val="004A662D"/>
    <w:rsid w:val="004A758A"/>
    <w:rsid w:val="004B031B"/>
    <w:rsid w:val="004B0A8C"/>
    <w:rsid w:val="004C10C1"/>
    <w:rsid w:val="004C316F"/>
    <w:rsid w:val="004C36CD"/>
    <w:rsid w:val="004D04FA"/>
    <w:rsid w:val="004D4E23"/>
    <w:rsid w:val="004E4318"/>
    <w:rsid w:val="004F001E"/>
    <w:rsid w:val="004F7EB5"/>
    <w:rsid w:val="004F7F9C"/>
    <w:rsid w:val="00501282"/>
    <w:rsid w:val="00505048"/>
    <w:rsid w:val="00505FC4"/>
    <w:rsid w:val="005072E2"/>
    <w:rsid w:val="00510A7B"/>
    <w:rsid w:val="00511581"/>
    <w:rsid w:val="005123FC"/>
    <w:rsid w:val="00516777"/>
    <w:rsid w:val="005179B8"/>
    <w:rsid w:val="005222A8"/>
    <w:rsid w:val="005226E9"/>
    <w:rsid w:val="005324EC"/>
    <w:rsid w:val="0053291A"/>
    <w:rsid w:val="005344D4"/>
    <w:rsid w:val="00535831"/>
    <w:rsid w:val="00536248"/>
    <w:rsid w:val="00540D26"/>
    <w:rsid w:val="00540D44"/>
    <w:rsid w:val="00546B2A"/>
    <w:rsid w:val="00550D44"/>
    <w:rsid w:val="00554060"/>
    <w:rsid w:val="00554107"/>
    <w:rsid w:val="00556BEB"/>
    <w:rsid w:val="00570E11"/>
    <w:rsid w:val="00574847"/>
    <w:rsid w:val="00575427"/>
    <w:rsid w:val="00576A4D"/>
    <w:rsid w:val="0058104A"/>
    <w:rsid w:val="0058195B"/>
    <w:rsid w:val="0058311A"/>
    <w:rsid w:val="00586AF5"/>
    <w:rsid w:val="00590250"/>
    <w:rsid w:val="00591806"/>
    <w:rsid w:val="005922AE"/>
    <w:rsid w:val="00594DD6"/>
    <w:rsid w:val="005A2E9D"/>
    <w:rsid w:val="005A3418"/>
    <w:rsid w:val="005A59B7"/>
    <w:rsid w:val="005A6B26"/>
    <w:rsid w:val="005B1A4A"/>
    <w:rsid w:val="005B47B7"/>
    <w:rsid w:val="005B6660"/>
    <w:rsid w:val="005D4B84"/>
    <w:rsid w:val="005F18EB"/>
    <w:rsid w:val="005F22E9"/>
    <w:rsid w:val="005F2C25"/>
    <w:rsid w:val="005F3053"/>
    <w:rsid w:val="005F447C"/>
    <w:rsid w:val="00605BA3"/>
    <w:rsid w:val="00612ACE"/>
    <w:rsid w:val="006167EB"/>
    <w:rsid w:val="006323DB"/>
    <w:rsid w:val="006339B3"/>
    <w:rsid w:val="00634682"/>
    <w:rsid w:val="006443BC"/>
    <w:rsid w:val="00644B2F"/>
    <w:rsid w:val="00647655"/>
    <w:rsid w:val="006557F6"/>
    <w:rsid w:val="00661842"/>
    <w:rsid w:val="006656AB"/>
    <w:rsid w:val="00666C04"/>
    <w:rsid w:val="00667D37"/>
    <w:rsid w:val="006759CA"/>
    <w:rsid w:val="006820C0"/>
    <w:rsid w:val="00682DF9"/>
    <w:rsid w:val="00682FB6"/>
    <w:rsid w:val="006840A9"/>
    <w:rsid w:val="006844F4"/>
    <w:rsid w:val="006854A1"/>
    <w:rsid w:val="0069117E"/>
    <w:rsid w:val="00693F43"/>
    <w:rsid w:val="006977D0"/>
    <w:rsid w:val="006A028D"/>
    <w:rsid w:val="006A5328"/>
    <w:rsid w:val="006A6B28"/>
    <w:rsid w:val="006B002A"/>
    <w:rsid w:val="006B096E"/>
    <w:rsid w:val="006B30E8"/>
    <w:rsid w:val="006B3DA7"/>
    <w:rsid w:val="006B45A5"/>
    <w:rsid w:val="006B4B96"/>
    <w:rsid w:val="006C1D98"/>
    <w:rsid w:val="006C4382"/>
    <w:rsid w:val="006C4D89"/>
    <w:rsid w:val="006C6066"/>
    <w:rsid w:val="006C728A"/>
    <w:rsid w:val="006D0356"/>
    <w:rsid w:val="006D2758"/>
    <w:rsid w:val="006D31B8"/>
    <w:rsid w:val="006D77A4"/>
    <w:rsid w:val="006E0CF8"/>
    <w:rsid w:val="006E1927"/>
    <w:rsid w:val="006E1D7E"/>
    <w:rsid w:val="006E3AEF"/>
    <w:rsid w:val="006E77DF"/>
    <w:rsid w:val="006F4290"/>
    <w:rsid w:val="006F4A66"/>
    <w:rsid w:val="006F648E"/>
    <w:rsid w:val="00703C3F"/>
    <w:rsid w:val="0070406A"/>
    <w:rsid w:val="00704498"/>
    <w:rsid w:val="007077E8"/>
    <w:rsid w:val="0071187A"/>
    <w:rsid w:val="00713C53"/>
    <w:rsid w:val="007259C2"/>
    <w:rsid w:val="00725C6F"/>
    <w:rsid w:val="0072678C"/>
    <w:rsid w:val="0073150C"/>
    <w:rsid w:val="0073151D"/>
    <w:rsid w:val="007346FC"/>
    <w:rsid w:val="00734DE4"/>
    <w:rsid w:val="00737B48"/>
    <w:rsid w:val="007411A9"/>
    <w:rsid w:val="007430A7"/>
    <w:rsid w:val="007532CA"/>
    <w:rsid w:val="007532E5"/>
    <w:rsid w:val="007606B2"/>
    <w:rsid w:val="007609D0"/>
    <w:rsid w:val="007624D3"/>
    <w:rsid w:val="0076465A"/>
    <w:rsid w:val="00767559"/>
    <w:rsid w:val="007800E3"/>
    <w:rsid w:val="00780410"/>
    <w:rsid w:val="00783626"/>
    <w:rsid w:val="0078682B"/>
    <w:rsid w:val="00786F3B"/>
    <w:rsid w:val="007A4F2B"/>
    <w:rsid w:val="007A6F06"/>
    <w:rsid w:val="007A7561"/>
    <w:rsid w:val="007B197B"/>
    <w:rsid w:val="007B2F27"/>
    <w:rsid w:val="007B4E2B"/>
    <w:rsid w:val="007C31EC"/>
    <w:rsid w:val="007C4D71"/>
    <w:rsid w:val="007C76E0"/>
    <w:rsid w:val="007C7B23"/>
    <w:rsid w:val="007D00E3"/>
    <w:rsid w:val="007D00EC"/>
    <w:rsid w:val="007D7549"/>
    <w:rsid w:val="007E1D0F"/>
    <w:rsid w:val="007E2C66"/>
    <w:rsid w:val="007E782C"/>
    <w:rsid w:val="007F1219"/>
    <w:rsid w:val="007F5AA2"/>
    <w:rsid w:val="007F725D"/>
    <w:rsid w:val="007F73CC"/>
    <w:rsid w:val="007F79D3"/>
    <w:rsid w:val="00800DB9"/>
    <w:rsid w:val="00804FD9"/>
    <w:rsid w:val="0080784B"/>
    <w:rsid w:val="00813081"/>
    <w:rsid w:val="00814188"/>
    <w:rsid w:val="008153D4"/>
    <w:rsid w:val="008201C3"/>
    <w:rsid w:val="00822D4B"/>
    <w:rsid w:val="00825403"/>
    <w:rsid w:val="008278D5"/>
    <w:rsid w:val="008337B8"/>
    <w:rsid w:val="00836FF2"/>
    <w:rsid w:val="00840240"/>
    <w:rsid w:val="00842FDB"/>
    <w:rsid w:val="00852D0D"/>
    <w:rsid w:val="0085359E"/>
    <w:rsid w:val="00853D6C"/>
    <w:rsid w:val="008561EF"/>
    <w:rsid w:val="0086003D"/>
    <w:rsid w:val="00861001"/>
    <w:rsid w:val="00867CA4"/>
    <w:rsid w:val="0087000D"/>
    <w:rsid w:val="00871F7F"/>
    <w:rsid w:val="00875211"/>
    <w:rsid w:val="008765A8"/>
    <w:rsid w:val="00886A78"/>
    <w:rsid w:val="008904E2"/>
    <w:rsid w:val="008925D2"/>
    <w:rsid w:val="00895458"/>
    <w:rsid w:val="0089711A"/>
    <w:rsid w:val="008A0CD3"/>
    <w:rsid w:val="008A43DF"/>
    <w:rsid w:val="008A6565"/>
    <w:rsid w:val="008B72DB"/>
    <w:rsid w:val="008B7EE8"/>
    <w:rsid w:val="008C39F7"/>
    <w:rsid w:val="008C7EEB"/>
    <w:rsid w:val="008D0C4B"/>
    <w:rsid w:val="008D1EC7"/>
    <w:rsid w:val="008D76B5"/>
    <w:rsid w:val="008E0F8D"/>
    <w:rsid w:val="008E6E61"/>
    <w:rsid w:val="008E7FCF"/>
    <w:rsid w:val="008F11CC"/>
    <w:rsid w:val="008F23DE"/>
    <w:rsid w:val="00900550"/>
    <w:rsid w:val="0090757F"/>
    <w:rsid w:val="009167FB"/>
    <w:rsid w:val="00917ADB"/>
    <w:rsid w:val="009235F1"/>
    <w:rsid w:val="00925CF7"/>
    <w:rsid w:val="00927D8D"/>
    <w:rsid w:val="00930133"/>
    <w:rsid w:val="0093152E"/>
    <w:rsid w:val="00943311"/>
    <w:rsid w:val="009461AF"/>
    <w:rsid w:val="00955BA9"/>
    <w:rsid w:val="0096136C"/>
    <w:rsid w:val="00965980"/>
    <w:rsid w:val="00966401"/>
    <w:rsid w:val="00970A31"/>
    <w:rsid w:val="00982427"/>
    <w:rsid w:val="00984DAB"/>
    <w:rsid w:val="009853B6"/>
    <w:rsid w:val="009879C9"/>
    <w:rsid w:val="00987DA1"/>
    <w:rsid w:val="00996E05"/>
    <w:rsid w:val="009A1C27"/>
    <w:rsid w:val="009A2941"/>
    <w:rsid w:val="009A5F5D"/>
    <w:rsid w:val="009B438B"/>
    <w:rsid w:val="009B580C"/>
    <w:rsid w:val="009B7374"/>
    <w:rsid w:val="009C10FB"/>
    <w:rsid w:val="009C17EE"/>
    <w:rsid w:val="009C36FF"/>
    <w:rsid w:val="009C4F1A"/>
    <w:rsid w:val="009D060E"/>
    <w:rsid w:val="009D57BC"/>
    <w:rsid w:val="009E06A3"/>
    <w:rsid w:val="009E5902"/>
    <w:rsid w:val="009F004A"/>
    <w:rsid w:val="009F3FEE"/>
    <w:rsid w:val="009F46D5"/>
    <w:rsid w:val="009F5131"/>
    <w:rsid w:val="009F5C80"/>
    <w:rsid w:val="00A12D7F"/>
    <w:rsid w:val="00A1324D"/>
    <w:rsid w:val="00A14682"/>
    <w:rsid w:val="00A151D9"/>
    <w:rsid w:val="00A1562D"/>
    <w:rsid w:val="00A15A2C"/>
    <w:rsid w:val="00A15DED"/>
    <w:rsid w:val="00A16DBB"/>
    <w:rsid w:val="00A172FA"/>
    <w:rsid w:val="00A17843"/>
    <w:rsid w:val="00A20F21"/>
    <w:rsid w:val="00A21F75"/>
    <w:rsid w:val="00A23336"/>
    <w:rsid w:val="00A26133"/>
    <w:rsid w:val="00A2736D"/>
    <w:rsid w:val="00A30119"/>
    <w:rsid w:val="00A332FA"/>
    <w:rsid w:val="00A33566"/>
    <w:rsid w:val="00A34599"/>
    <w:rsid w:val="00A371CA"/>
    <w:rsid w:val="00A378D6"/>
    <w:rsid w:val="00A4027B"/>
    <w:rsid w:val="00A41EE2"/>
    <w:rsid w:val="00A52C05"/>
    <w:rsid w:val="00A535B7"/>
    <w:rsid w:val="00A54BB8"/>
    <w:rsid w:val="00A60E80"/>
    <w:rsid w:val="00A60FAE"/>
    <w:rsid w:val="00A628A1"/>
    <w:rsid w:val="00A62E05"/>
    <w:rsid w:val="00A64DD1"/>
    <w:rsid w:val="00A657FF"/>
    <w:rsid w:val="00A67AF7"/>
    <w:rsid w:val="00A741BB"/>
    <w:rsid w:val="00A8436B"/>
    <w:rsid w:val="00A85CDA"/>
    <w:rsid w:val="00A9110C"/>
    <w:rsid w:val="00A9627B"/>
    <w:rsid w:val="00AA03E6"/>
    <w:rsid w:val="00AA59EE"/>
    <w:rsid w:val="00AB049E"/>
    <w:rsid w:val="00AB1C96"/>
    <w:rsid w:val="00AB5A7E"/>
    <w:rsid w:val="00AD1721"/>
    <w:rsid w:val="00AD2785"/>
    <w:rsid w:val="00AD43B5"/>
    <w:rsid w:val="00AD790C"/>
    <w:rsid w:val="00AE4129"/>
    <w:rsid w:val="00AE4E66"/>
    <w:rsid w:val="00AF2432"/>
    <w:rsid w:val="00AF3402"/>
    <w:rsid w:val="00AF3F24"/>
    <w:rsid w:val="00AF4DDA"/>
    <w:rsid w:val="00B00C6C"/>
    <w:rsid w:val="00B024A3"/>
    <w:rsid w:val="00B02662"/>
    <w:rsid w:val="00B0728F"/>
    <w:rsid w:val="00B111AE"/>
    <w:rsid w:val="00B118AA"/>
    <w:rsid w:val="00B14848"/>
    <w:rsid w:val="00B246FC"/>
    <w:rsid w:val="00B25BF0"/>
    <w:rsid w:val="00B34720"/>
    <w:rsid w:val="00B37373"/>
    <w:rsid w:val="00B43C21"/>
    <w:rsid w:val="00B51BA8"/>
    <w:rsid w:val="00B527A4"/>
    <w:rsid w:val="00B543AA"/>
    <w:rsid w:val="00B62666"/>
    <w:rsid w:val="00B63C7F"/>
    <w:rsid w:val="00B72CD7"/>
    <w:rsid w:val="00B73049"/>
    <w:rsid w:val="00B8283F"/>
    <w:rsid w:val="00B95296"/>
    <w:rsid w:val="00B953DE"/>
    <w:rsid w:val="00BA4761"/>
    <w:rsid w:val="00BB2E5F"/>
    <w:rsid w:val="00BB4D08"/>
    <w:rsid w:val="00BB6D2F"/>
    <w:rsid w:val="00BC1254"/>
    <w:rsid w:val="00BC2523"/>
    <w:rsid w:val="00BC2C5D"/>
    <w:rsid w:val="00BC4AB5"/>
    <w:rsid w:val="00BE17A3"/>
    <w:rsid w:val="00BE1DC3"/>
    <w:rsid w:val="00BE5A21"/>
    <w:rsid w:val="00BE62E2"/>
    <w:rsid w:val="00BE6961"/>
    <w:rsid w:val="00BE716A"/>
    <w:rsid w:val="00BE756E"/>
    <w:rsid w:val="00BE7715"/>
    <w:rsid w:val="00BF03BE"/>
    <w:rsid w:val="00BF0FFE"/>
    <w:rsid w:val="00BF1BCB"/>
    <w:rsid w:val="00BF65CD"/>
    <w:rsid w:val="00BF6F9D"/>
    <w:rsid w:val="00C03139"/>
    <w:rsid w:val="00C04DC4"/>
    <w:rsid w:val="00C1147A"/>
    <w:rsid w:val="00C14AD4"/>
    <w:rsid w:val="00C14E48"/>
    <w:rsid w:val="00C16734"/>
    <w:rsid w:val="00C17A06"/>
    <w:rsid w:val="00C17C27"/>
    <w:rsid w:val="00C23D92"/>
    <w:rsid w:val="00C26B10"/>
    <w:rsid w:val="00C32247"/>
    <w:rsid w:val="00C35372"/>
    <w:rsid w:val="00C36FE2"/>
    <w:rsid w:val="00C428BD"/>
    <w:rsid w:val="00C465C5"/>
    <w:rsid w:val="00C46BB5"/>
    <w:rsid w:val="00C47EFE"/>
    <w:rsid w:val="00C50281"/>
    <w:rsid w:val="00C50B8A"/>
    <w:rsid w:val="00C517E0"/>
    <w:rsid w:val="00C51977"/>
    <w:rsid w:val="00C533A8"/>
    <w:rsid w:val="00C54767"/>
    <w:rsid w:val="00C54C6E"/>
    <w:rsid w:val="00C63A6E"/>
    <w:rsid w:val="00C63AE1"/>
    <w:rsid w:val="00C64742"/>
    <w:rsid w:val="00C6741E"/>
    <w:rsid w:val="00C67582"/>
    <w:rsid w:val="00C703B3"/>
    <w:rsid w:val="00C721B4"/>
    <w:rsid w:val="00C7241F"/>
    <w:rsid w:val="00C733B1"/>
    <w:rsid w:val="00C73C1A"/>
    <w:rsid w:val="00C75F0F"/>
    <w:rsid w:val="00C75F25"/>
    <w:rsid w:val="00C77E42"/>
    <w:rsid w:val="00C81237"/>
    <w:rsid w:val="00C8368E"/>
    <w:rsid w:val="00C8658E"/>
    <w:rsid w:val="00C87116"/>
    <w:rsid w:val="00C87552"/>
    <w:rsid w:val="00C87940"/>
    <w:rsid w:val="00C87BBB"/>
    <w:rsid w:val="00C906FC"/>
    <w:rsid w:val="00C93DC0"/>
    <w:rsid w:val="00C95013"/>
    <w:rsid w:val="00CA36BF"/>
    <w:rsid w:val="00CA42EF"/>
    <w:rsid w:val="00CA6B50"/>
    <w:rsid w:val="00CB0342"/>
    <w:rsid w:val="00CB2D88"/>
    <w:rsid w:val="00CB4B4E"/>
    <w:rsid w:val="00CC0631"/>
    <w:rsid w:val="00CC72BF"/>
    <w:rsid w:val="00CC7394"/>
    <w:rsid w:val="00CD150A"/>
    <w:rsid w:val="00CD160C"/>
    <w:rsid w:val="00CD766C"/>
    <w:rsid w:val="00CE2149"/>
    <w:rsid w:val="00CE2A74"/>
    <w:rsid w:val="00CE5458"/>
    <w:rsid w:val="00CE6614"/>
    <w:rsid w:val="00CF42A6"/>
    <w:rsid w:val="00CF4695"/>
    <w:rsid w:val="00D01B4F"/>
    <w:rsid w:val="00D0310C"/>
    <w:rsid w:val="00D03507"/>
    <w:rsid w:val="00D05886"/>
    <w:rsid w:val="00D06B48"/>
    <w:rsid w:val="00D07E48"/>
    <w:rsid w:val="00D1503F"/>
    <w:rsid w:val="00D22EA1"/>
    <w:rsid w:val="00D269F8"/>
    <w:rsid w:val="00D3045F"/>
    <w:rsid w:val="00D46233"/>
    <w:rsid w:val="00D52AB8"/>
    <w:rsid w:val="00D713A4"/>
    <w:rsid w:val="00D72188"/>
    <w:rsid w:val="00D82D74"/>
    <w:rsid w:val="00D840D9"/>
    <w:rsid w:val="00D86A21"/>
    <w:rsid w:val="00D87916"/>
    <w:rsid w:val="00D928E8"/>
    <w:rsid w:val="00D943C5"/>
    <w:rsid w:val="00D968FB"/>
    <w:rsid w:val="00D97DDE"/>
    <w:rsid w:val="00DA13EB"/>
    <w:rsid w:val="00DA2CB1"/>
    <w:rsid w:val="00DA70A3"/>
    <w:rsid w:val="00DA7B60"/>
    <w:rsid w:val="00DB26FD"/>
    <w:rsid w:val="00DB52BE"/>
    <w:rsid w:val="00DB67C5"/>
    <w:rsid w:val="00DC3809"/>
    <w:rsid w:val="00DD03C8"/>
    <w:rsid w:val="00DD21EB"/>
    <w:rsid w:val="00DD7B7F"/>
    <w:rsid w:val="00DE290B"/>
    <w:rsid w:val="00DE6B9A"/>
    <w:rsid w:val="00DE7A02"/>
    <w:rsid w:val="00DE7F3E"/>
    <w:rsid w:val="00DF4926"/>
    <w:rsid w:val="00DF4CB1"/>
    <w:rsid w:val="00E009AE"/>
    <w:rsid w:val="00E00F7B"/>
    <w:rsid w:val="00E03435"/>
    <w:rsid w:val="00E06FE4"/>
    <w:rsid w:val="00E1048B"/>
    <w:rsid w:val="00E11807"/>
    <w:rsid w:val="00E154C0"/>
    <w:rsid w:val="00E1674F"/>
    <w:rsid w:val="00E2069F"/>
    <w:rsid w:val="00E209EB"/>
    <w:rsid w:val="00E25FCA"/>
    <w:rsid w:val="00E328BA"/>
    <w:rsid w:val="00E35C07"/>
    <w:rsid w:val="00E466AD"/>
    <w:rsid w:val="00E46A74"/>
    <w:rsid w:val="00E5097C"/>
    <w:rsid w:val="00E55CB1"/>
    <w:rsid w:val="00E55E21"/>
    <w:rsid w:val="00E56CC0"/>
    <w:rsid w:val="00E56D67"/>
    <w:rsid w:val="00E57199"/>
    <w:rsid w:val="00E63DCA"/>
    <w:rsid w:val="00E651E5"/>
    <w:rsid w:val="00E67544"/>
    <w:rsid w:val="00E67A14"/>
    <w:rsid w:val="00E67BA0"/>
    <w:rsid w:val="00E72102"/>
    <w:rsid w:val="00E7478F"/>
    <w:rsid w:val="00E747AA"/>
    <w:rsid w:val="00E74F2D"/>
    <w:rsid w:val="00E81502"/>
    <w:rsid w:val="00E861A9"/>
    <w:rsid w:val="00E86674"/>
    <w:rsid w:val="00E879B5"/>
    <w:rsid w:val="00E9169C"/>
    <w:rsid w:val="00E93B58"/>
    <w:rsid w:val="00E97EB5"/>
    <w:rsid w:val="00EA011A"/>
    <w:rsid w:val="00EA04FD"/>
    <w:rsid w:val="00EA6211"/>
    <w:rsid w:val="00EA7C44"/>
    <w:rsid w:val="00EB0413"/>
    <w:rsid w:val="00EB27FF"/>
    <w:rsid w:val="00EC3BFD"/>
    <w:rsid w:val="00EC546A"/>
    <w:rsid w:val="00EC6B61"/>
    <w:rsid w:val="00ED4EB2"/>
    <w:rsid w:val="00ED5477"/>
    <w:rsid w:val="00EE2E95"/>
    <w:rsid w:val="00EE47C9"/>
    <w:rsid w:val="00EF0B70"/>
    <w:rsid w:val="00EF150E"/>
    <w:rsid w:val="00EF171B"/>
    <w:rsid w:val="00EF33D7"/>
    <w:rsid w:val="00F001EB"/>
    <w:rsid w:val="00F103F1"/>
    <w:rsid w:val="00F109E9"/>
    <w:rsid w:val="00F118A2"/>
    <w:rsid w:val="00F13BF8"/>
    <w:rsid w:val="00F153BD"/>
    <w:rsid w:val="00F2532A"/>
    <w:rsid w:val="00F25336"/>
    <w:rsid w:val="00F27DB1"/>
    <w:rsid w:val="00F3272D"/>
    <w:rsid w:val="00F356A6"/>
    <w:rsid w:val="00F40185"/>
    <w:rsid w:val="00F43CDC"/>
    <w:rsid w:val="00F5361C"/>
    <w:rsid w:val="00F54856"/>
    <w:rsid w:val="00F60123"/>
    <w:rsid w:val="00F60846"/>
    <w:rsid w:val="00F63CAB"/>
    <w:rsid w:val="00F64027"/>
    <w:rsid w:val="00F64B36"/>
    <w:rsid w:val="00F717EE"/>
    <w:rsid w:val="00F85FFF"/>
    <w:rsid w:val="00F92128"/>
    <w:rsid w:val="00F92174"/>
    <w:rsid w:val="00F962E6"/>
    <w:rsid w:val="00F97652"/>
    <w:rsid w:val="00FA467B"/>
    <w:rsid w:val="00FA4C73"/>
    <w:rsid w:val="00FB3445"/>
    <w:rsid w:val="00FB3F91"/>
    <w:rsid w:val="00FB4A4E"/>
    <w:rsid w:val="00FC2DA7"/>
    <w:rsid w:val="00FC4391"/>
    <w:rsid w:val="00FC64AE"/>
    <w:rsid w:val="00FC6A3C"/>
    <w:rsid w:val="00FC794B"/>
    <w:rsid w:val="00FD6F1C"/>
    <w:rsid w:val="00FE318D"/>
    <w:rsid w:val="00FE4F4C"/>
    <w:rsid w:val="00FF1637"/>
    <w:rsid w:val="00FF2DAB"/>
    <w:rsid w:val="00FF3337"/>
    <w:rsid w:val="00FF5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B2BDE3"/>
  <w15:docId w15:val="{62371E6F-95A2-4187-B832-8E56A0A09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6CF"/>
    <w:pPr>
      <w:spacing w:after="160" w:line="259" w:lineRule="auto"/>
    </w:pPr>
    <w:rPr>
      <w:sz w:val="22"/>
      <w:szCs w:val="22"/>
    </w:rPr>
  </w:style>
  <w:style w:type="paragraph" w:styleId="Heading1">
    <w:name w:val="heading 1"/>
    <w:basedOn w:val="Normal"/>
    <w:link w:val="Heading1Char"/>
    <w:uiPriority w:val="9"/>
    <w:qFormat/>
    <w:rsid w:val="00F356A6"/>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E46A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46A7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05FC4"/>
    <w:rPr>
      <w:color w:val="0563C1"/>
      <w:u w:val="single"/>
    </w:rPr>
  </w:style>
  <w:style w:type="character" w:customStyle="1" w:styleId="apple-converted-space">
    <w:name w:val="apple-converted-space"/>
    <w:rsid w:val="00505FC4"/>
  </w:style>
  <w:style w:type="character" w:customStyle="1" w:styleId="details">
    <w:name w:val="details"/>
    <w:rsid w:val="00505FC4"/>
  </w:style>
  <w:style w:type="paragraph" w:styleId="NormalWeb">
    <w:name w:val="Normal (Web)"/>
    <w:basedOn w:val="Normal"/>
    <w:uiPriority w:val="99"/>
    <w:unhideWhenUsed/>
    <w:rsid w:val="00505FC4"/>
    <w:pPr>
      <w:spacing w:before="100" w:beforeAutospacing="1" w:after="100" w:afterAutospacing="1" w:line="240" w:lineRule="auto"/>
    </w:pPr>
    <w:rPr>
      <w:rFonts w:ascii="Times New Roman" w:eastAsia="Times New Roman" w:hAnsi="Times New Roman"/>
      <w:sz w:val="24"/>
      <w:szCs w:val="24"/>
    </w:rPr>
  </w:style>
  <w:style w:type="character" w:customStyle="1" w:styleId="search-custom">
    <w:name w:val="search-custom"/>
    <w:rsid w:val="00505FC4"/>
  </w:style>
  <w:style w:type="character" w:styleId="FollowedHyperlink">
    <w:name w:val="FollowedHyperlink"/>
    <w:uiPriority w:val="99"/>
    <w:semiHidden/>
    <w:unhideWhenUsed/>
    <w:rsid w:val="00E81502"/>
    <w:rPr>
      <w:color w:val="954F72"/>
      <w:u w:val="single"/>
    </w:rPr>
  </w:style>
  <w:style w:type="character" w:styleId="Emphasis">
    <w:name w:val="Emphasis"/>
    <w:uiPriority w:val="20"/>
    <w:qFormat/>
    <w:rsid w:val="007609D0"/>
    <w:rPr>
      <w:i/>
      <w:iCs/>
    </w:rPr>
  </w:style>
  <w:style w:type="character" w:customStyle="1" w:styleId="more">
    <w:name w:val="more"/>
    <w:rsid w:val="007D00E3"/>
  </w:style>
  <w:style w:type="paragraph" w:customStyle="1" w:styleId="default">
    <w:name w:val="default"/>
    <w:basedOn w:val="Normal"/>
    <w:rsid w:val="007D00E3"/>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955BA9"/>
    <w:rPr>
      <w:b/>
      <w:bCs/>
    </w:rPr>
  </w:style>
  <w:style w:type="character" w:customStyle="1" w:styleId="small-label">
    <w:name w:val="small-label"/>
    <w:rsid w:val="00955BA9"/>
  </w:style>
  <w:style w:type="character" w:customStyle="1" w:styleId="fundingsubtitle">
    <w:name w:val="funding_sub_title"/>
    <w:rsid w:val="00955BA9"/>
  </w:style>
  <w:style w:type="character" w:customStyle="1" w:styleId="morenote">
    <w:name w:val="more_note"/>
    <w:rsid w:val="00955BA9"/>
  </w:style>
  <w:style w:type="paragraph" w:styleId="BalloonText">
    <w:name w:val="Balloon Text"/>
    <w:basedOn w:val="Normal"/>
    <w:link w:val="BalloonTextChar"/>
    <w:uiPriority w:val="99"/>
    <w:semiHidden/>
    <w:unhideWhenUsed/>
    <w:rsid w:val="00E861A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861A9"/>
    <w:rPr>
      <w:rFonts w:ascii="Segoe UI" w:hAnsi="Segoe UI" w:cs="Segoe UI"/>
      <w:sz w:val="18"/>
      <w:szCs w:val="18"/>
    </w:rPr>
  </w:style>
  <w:style w:type="character" w:customStyle="1" w:styleId="Heading1Char">
    <w:name w:val="Heading 1 Char"/>
    <w:link w:val="Heading1"/>
    <w:uiPriority w:val="9"/>
    <w:rsid w:val="00F356A6"/>
    <w:rPr>
      <w:rFonts w:ascii="Times New Roman" w:eastAsia="Times New Roman" w:hAnsi="Times New Roman"/>
      <w:b/>
      <w:bCs/>
      <w:kern w:val="36"/>
      <w:sz w:val="48"/>
      <w:szCs w:val="48"/>
    </w:rPr>
  </w:style>
  <w:style w:type="paragraph" w:customStyle="1" w:styleId="duedatefsirst">
    <w:name w:val="due_date_fsirst"/>
    <w:basedOn w:val="Normal"/>
    <w:rsid w:val="00FF5FC7"/>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0859FA"/>
    <w:pPr>
      <w:ind w:left="720"/>
      <w:contextualSpacing/>
    </w:pPr>
  </w:style>
  <w:style w:type="character" w:customStyle="1" w:styleId="Title1">
    <w:name w:val="Title1"/>
    <w:basedOn w:val="DefaultParagraphFont"/>
    <w:rsid w:val="006C6066"/>
  </w:style>
  <w:style w:type="character" w:customStyle="1" w:styleId="Heading2Char">
    <w:name w:val="Heading 2 Char"/>
    <w:basedOn w:val="DefaultParagraphFont"/>
    <w:link w:val="Heading2"/>
    <w:uiPriority w:val="9"/>
    <w:rsid w:val="00E46A7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E46A74"/>
    <w:rPr>
      <w:rFonts w:asciiTheme="majorHAnsi" w:eastAsiaTheme="majorEastAsia" w:hAnsiTheme="majorHAnsi" w:cstheme="majorBidi"/>
      <w:color w:val="1F4D78" w:themeColor="accent1" w:themeShade="7F"/>
      <w:sz w:val="24"/>
      <w:szCs w:val="24"/>
    </w:rPr>
  </w:style>
  <w:style w:type="character" w:customStyle="1" w:styleId="l-labelpretext1">
    <w:name w:val="l-label__pretext1"/>
    <w:basedOn w:val="DefaultParagraphFont"/>
    <w:rsid w:val="007346FC"/>
  </w:style>
  <w:style w:type="character" w:customStyle="1" w:styleId="Title2">
    <w:name w:val="Title2"/>
    <w:basedOn w:val="DefaultParagraphFont"/>
    <w:rsid w:val="00A4027B"/>
  </w:style>
  <w:style w:type="character" w:customStyle="1" w:styleId="navtext1">
    <w:name w:val="navtext1"/>
    <w:basedOn w:val="DefaultParagraphFont"/>
    <w:rsid w:val="0016150D"/>
    <w:rPr>
      <w:rFonts w:ascii="Verdana" w:hAnsi="Verdana" w:hint="default"/>
      <w:b w:val="0"/>
      <w:bCs w:val="0"/>
      <w:color w:val="000000"/>
    </w:rPr>
  </w:style>
  <w:style w:type="paragraph" w:customStyle="1" w:styleId="text--small">
    <w:name w:val="text--small"/>
    <w:basedOn w:val="Normal"/>
    <w:uiPriority w:val="99"/>
    <w:rsid w:val="00FC2DA7"/>
    <w:pPr>
      <w:spacing w:before="100" w:beforeAutospacing="1" w:after="100" w:afterAutospacing="1" w:line="240" w:lineRule="auto"/>
    </w:pPr>
    <w:rPr>
      <w:rFonts w:ascii="Times New Roman" w:eastAsia="Times New Roman" w:hAnsi="Times New Roman"/>
      <w:sz w:val="24"/>
      <w:szCs w:val="24"/>
    </w:rPr>
  </w:style>
  <w:style w:type="paragraph" w:customStyle="1" w:styleId="normal1">
    <w:name w:val="normal1"/>
    <w:basedOn w:val="Normal"/>
    <w:rsid w:val="007C7B2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3392">
      <w:bodyDiv w:val="1"/>
      <w:marLeft w:val="0"/>
      <w:marRight w:val="0"/>
      <w:marTop w:val="0"/>
      <w:marBottom w:val="0"/>
      <w:divBdr>
        <w:top w:val="none" w:sz="0" w:space="0" w:color="auto"/>
        <w:left w:val="none" w:sz="0" w:space="0" w:color="auto"/>
        <w:bottom w:val="none" w:sz="0" w:space="0" w:color="auto"/>
        <w:right w:val="none" w:sz="0" w:space="0" w:color="auto"/>
      </w:divBdr>
    </w:div>
    <w:div w:id="171840716">
      <w:bodyDiv w:val="1"/>
      <w:marLeft w:val="0"/>
      <w:marRight w:val="0"/>
      <w:marTop w:val="0"/>
      <w:marBottom w:val="0"/>
      <w:divBdr>
        <w:top w:val="none" w:sz="0" w:space="0" w:color="auto"/>
        <w:left w:val="none" w:sz="0" w:space="0" w:color="auto"/>
        <w:bottom w:val="none" w:sz="0" w:space="0" w:color="auto"/>
        <w:right w:val="none" w:sz="0" w:space="0" w:color="auto"/>
      </w:divBdr>
    </w:div>
    <w:div w:id="210381876">
      <w:bodyDiv w:val="1"/>
      <w:marLeft w:val="0"/>
      <w:marRight w:val="0"/>
      <w:marTop w:val="0"/>
      <w:marBottom w:val="0"/>
      <w:divBdr>
        <w:top w:val="none" w:sz="0" w:space="0" w:color="auto"/>
        <w:left w:val="none" w:sz="0" w:space="0" w:color="auto"/>
        <w:bottom w:val="none" w:sz="0" w:space="0" w:color="auto"/>
        <w:right w:val="none" w:sz="0" w:space="0" w:color="auto"/>
      </w:divBdr>
    </w:div>
    <w:div w:id="219946913">
      <w:bodyDiv w:val="1"/>
      <w:marLeft w:val="0"/>
      <w:marRight w:val="0"/>
      <w:marTop w:val="0"/>
      <w:marBottom w:val="0"/>
      <w:divBdr>
        <w:top w:val="none" w:sz="0" w:space="0" w:color="auto"/>
        <w:left w:val="none" w:sz="0" w:space="0" w:color="auto"/>
        <w:bottom w:val="none" w:sz="0" w:space="0" w:color="auto"/>
        <w:right w:val="none" w:sz="0" w:space="0" w:color="auto"/>
      </w:divBdr>
    </w:div>
    <w:div w:id="254705534">
      <w:bodyDiv w:val="1"/>
      <w:marLeft w:val="0"/>
      <w:marRight w:val="0"/>
      <w:marTop w:val="0"/>
      <w:marBottom w:val="0"/>
      <w:divBdr>
        <w:top w:val="none" w:sz="0" w:space="0" w:color="auto"/>
        <w:left w:val="none" w:sz="0" w:space="0" w:color="auto"/>
        <w:bottom w:val="none" w:sz="0" w:space="0" w:color="auto"/>
        <w:right w:val="none" w:sz="0" w:space="0" w:color="auto"/>
      </w:divBdr>
    </w:div>
    <w:div w:id="289479908">
      <w:bodyDiv w:val="1"/>
      <w:marLeft w:val="0"/>
      <w:marRight w:val="0"/>
      <w:marTop w:val="0"/>
      <w:marBottom w:val="0"/>
      <w:divBdr>
        <w:top w:val="none" w:sz="0" w:space="0" w:color="auto"/>
        <w:left w:val="none" w:sz="0" w:space="0" w:color="auto"/>
        <w:bottom w:val="none" w:sz="0" w:space="0" w:color="auto"/>
        <w:right w:val="none" w:sz="0" w:space="0" w:color="auto"/>
      </w:divBdr>
    </w:div>
    <w:div w:id="300429326">
      <w:bodyDiv w:val="1"/>
      <w:marLeft w:val="0"/>
      <w:marRight w:val="0"/>
      <w:marTop w:val="0"/>
      <w:marBottom w:val="0"/>
      <w:divBdr>
        <w:top w:val="none" w:sz="0" w:space="0" w:color="auto"/>
        <w:left w:val="none" w:sz="0" w:space="0" w:color="auto"/>
        <w:bottom w:val="none" w:sz="0" w:space="0" w:color="auto"/>
        <w:right w:val="none" w:sz="0" w:space="0" w:color="auto"/>
      </w:divBdr>
    </w:div>
    <w:div w:id="373234966">
      <w:bodyDiv w:val="1"/>
      <w:marLeft w:val="0"/>
      <w:marRight w:val="0"/>
      <w:marTop w:val="0"/>
      <w:marBottom w:val="0"/>
      <w:divBdr>
        <w:top w:val="none" w:sz="0" w:space="0" w:color="auto"/>
        <w:left w:val="none" w:sz="0" w:space="0" w:color="auto"/>
        <w:bottom w:val="none" w:sz="0" w:space="0" w:color="auto"/>
        <w:right w:val="none" w:sz="0" w:space="0" w:color="auto"/>
      </w:divBdr>
    </w:div>
    <w:div w:id="400837471">
      <w:bodyDiv w:val="1"/>
      <w:marLeft w:val="0"/>
      <w:marRight w:val="0"/>
      <w:marTop w:val="0"/>
      <w:marBottom w:val="0"/>
      <w:divBdr>
        <w:top w:val="none" w:sz="0" w:space="0" w:color="auto"/>
        <w:left w:val="none" w:sz="0" w:space="0" w:color="auto"/>
        <w:bottom w:val="none" w:sz="0" w:space="0" w:color="auto"/>
        <w:right w:val="none" w:sz="0" w:space="0" w:color="auto"/>
      </w:divBdr>
    </w:div>
    <w:div w:id="428894388">
      <w:bodyDiv w:val="1"/>
      <w:marLeft w:val="0"/>
      <w:marRight w:val="0"/>
      <w:marTop w:val="0"/>
      <w:marBottom w:val="0"/>
      <w:divBdr>
        <w:top w:val="none" w:sz="0" w:space="0" w:color="auto"/>
        <w:left w:val="none" w:sz="0" w:space="0" w:color="auto"/>
        <w:bottom w:val="none" w:sz="0" w:space="0" w:color="auto"/>
        <w:right w:val="none" w:sz="0" w:space="0" w:color="auto"/>
      </w:divBdr>
    </w:div>
    <w:div w:id="432239940">
      <w:bodyDiv w:val="1"/>
      <w:marLeft w:val="0"/>
      <w:marRight w:val="0"/>
      <w:marTop w:val="0"/>
      <w:marBottom w:val="0"/>
      <w:divBdr>
        <w:top w:val="none" w:sz="0" w:space="0" w:color="auto"/>
        <w:left w:val="none" w:sz="0" w:space="0" w:color="auto"/>
        <w:bottom w:val="none" w:sz="0" w:space="0" w:color="auto"/>
        <w:right w:val="none" w:sz="0" w:space="0" w:color="auto"/>
      </w:divBdr>
    </w:div>
    <w:div w:id="517349778">
      <w:bodyDiv w:val="1"/>
      <w:marLeft w:val="0"/>
      <w:marRight w:val="0"/>
      <w:marTop w:val="0"/>
      <w:marBottom w:val="0"/>
      <w:divBdr>
        <w:top w:val="none" w:sz="0" w:space="0" w:color="auto"/>
        <w:left w:val="none" w:sz="0" w:space="0" w:color="auto"/>
        <w:bottom w:val="none" w:sz="0" w:space="0" w:color="auto"/>
        <w:right w:val="none" w:sz="0" w:space="0" w:color="auto"/>
      </w:divBdr>
    </w:div>
    <w:div w:id="527065330">
      <w:bodyDiv w:val="1"/>
      <w:marLeft w:val="0"/>
      <w:marRight w:val="0"/>
      <w:marTop w:val="0"/>
      <w:marBottom w:val="0"/>
      <w:divBdr>
        <w:top w:val="none" w:sz="0" w:space="0" w:color="auto"/>
        <w:left w:val="none" w:sz="0" w:space="0" w:color="auto"/>
        <w:bottom w:val="none" w:sz="0" w:space="0" w:color="auto"/>
        <w:right w:val="none" w:sz="0" w:space="0" w:color="auto"/>
      </w:divBdr>
    </w:div>
    <w:div w:id="705525897">
      <w:bodyDiv w:val="1"/>
      <w:marLeft w:val="0"/>
      <w:marRight w:val="0"/>
      <w:marTop w:val="0"/>
      <w:marBottom w:val="0"/>
      <w:divBdr>
        <w:top w:val="none" w:sz="0" w:space="0" w:color="auto"/>
        <w:left w:val="none" w:sz="0" w:space="0" w:color="auto"/>
        <w:bottom w:val="none" w:sz="0" w:space="0" w:color="auto"/>
        <w:right w:val="none" w:sz="0" w:space="0" w:color="auto"/>
      </w:divBdr>
    </w:div>
    <w:div w:id="966205957">
      <w:bodyDiv w:val="1"/>
      <w:marLeft w:val="0"/>
      <w:marRight w:val="0"/>
      <w:marTop w:val="0"/>
      <w:marBottom w:val="0"/>
      <w:divBdr>
        <w:top w:val="none" w:sz="0" w:space="0" w:color="auto"/>
        <w:left w:val="none" w:sz="0" w:space="0" w:color="auto"/>
        <w:bottom w:val="none" w:sz="0" w:space="0" w:color="auto"/>
        <w:right w:val="none" w:sz="0" w:space="0" w:color="auto"/>
      </w:divBdr>
    </w:div>
    <w:div w:id="1016348844">
      <w:bodyDiv w:val="1"/>
      <w:marLeft w:val="0"/>
      <w:marRight w:val="0"/>
      <w:marTop w:val="0"/>
      <w:marBottom w:val="0"/>
      <w:divBdr>
        <w:top w:val="none" w:sz="0" w:space="0" w:color="auto"/>
        <w:left w:val="none" w:sz="0" w:space="0" w:color="auto"/>
        <w:bottom w:val="none" w:sz="0" w:space="0" w:color="auto"/>
        <w:right w:val="none" w:sz="0" w:space="0" w:color="auto"/>
      </w:divBdr>
    </w:div>
    <w:div w:id="1041054467">
      <w:bodyDiv w:val="1"/>
      <w:marLeft w:val="0"/>
      <w:marRight w:val="0"/>
      <w:marTop w:val="0"/>
      <w:marBottom w:val="0"/>
      <w:divBdr>
        <w:top w:val="none" w:sz="0" w:space="0" w:color="auto"/>
        <w:left w:val="none" w:sz="0" w:space="0" w:color="auto"/>
        <w:bottom w:val="none" w:sz="0" w:space="0" w:color="auto"/>
        <w:right w:val="none" w:sz="0" w:space="0" w:color="auto"/>
      </w:divBdr>
    </w:div>
    <w:div w:id="1107310157">
      <w:bodyDiv w:val="1"/>
      <w:marLeft w:val="0"/>
      <w:marRight w:val="0"/>
      <w:marTop w:val="0"/>
      <w:marBottom w:val="0"/>
      <w:divBdr>
        <w:top w:val="none" w:sz="0" w:space="0" w:color="auto"/>
        <w:left w:val="none" w:sz="0" w:space="0" w:color="auto"/>
        <w:bottom w:val="none" w:sz="0" w:space="0" w:color="auto"/>
        <w:right w:val="none" w:sz="0" w:space="0" w:color="auto"/>
      </w:divBdr>
    </w:div>
    <w:div w:id="1161460320">
      <w:bodyDiv w:val="1"/>
      <w:marLeft w:val="0"/>
      <w:marRight w:val="0"/>
      <w:marTop w:val="0"/>
      <w:marBottom w:val="0"/>
      <w:divBdr>
        <w:top w:val="none" w:sz="0" w:space="0" w:color="auto"/>
        <w:left w:val="none" w:sz="0" w:space="0" w:color="auto"/>
        <w:bottom w:val="none" w:sz="0" w:space="0" w:color="auto"/>
        <w:right w:val="none" w:sz="0" w:space="0" w:color="auto"/>
      </w:divBdr>
    </w:div>
    <w:div w:id="1352026410">
      <w:bodyDiv w:val="1"/>
      <w:marLeft w:val="0"/>
      <w:marRight w:val="0"/>
      <w:marTop w:val="0"/>
      <w:marBottom w:val="0"/>
      <w:divBdr>
        <w:top w:val="none" w:sz="0" w:space="0" w:color="auto"/>
        <w:left w:val="none" w:sz="0" w:space="0" w:color="auto"/>
        <w:bottom w:val="none" w:sz="0" w:space="0" w:color="auto"/>
        <w:right w:val="none" w:sz="0" w:space="0" w:color="auto"/>
      </w:divBdr>
    </w:div>
    <w:div w:id="1451433813">
      <w:bodyDiv w:val="1"/>
      <w:marLeft w:val="0"/>
      <w:marRight w:val="0"/>
      <w:marTop w:val="0"/>
      <w:marBottom w:val="0"/>
      <w:divBdr>
        <w:top w:val="none" w:sz="0" w:space="0" w:color="auto"/>
        <w:left w:val="none" w:sz="0" w:space="0" w:color="auto"/>
        <w:bottom w:val="none" w:sz="0" w:space="0" w:color="auto"/>
        <w:right w:val="none" w:sz="0" w:space="0" w:color="auto"/>
      </w:divBdr>
    </w:div>
    <w:div w:id="1525051034">
      <w:bodyDiv w:val="1"/>
      <w:marLeft w:val="0"/>
      <w:marRight w:val="0"/>
      <w:marTop w:val="0"/>
      <w:marBottom w:val="0"/>
      <w:divBdr>
        <w:top w:val="none" w:sz="0" w:space="0" w:color="auto"/>
        <w:left w:val="none" w:sz="0" w:space="0" w:color="auto"/>
        <w:bottom w:val="none" w:sz="0" w:space="0" w:color="auto"/>
        <w:right w:val="none" w:sz="0" w:space="0" w:color="auto"/>
      </w:divBdr>
    </w:div>
    <w:div w:id="1534876803">
      <w:bodyDiv w:val="1"/>
      <w:marLeft w:val="0"/>
      <w:marRight w:val="0"/>
      <w:marTop w:val="0"/>
      <w:marBottom w:val="0"/>
      <w:divBdr>
        <w:top w:val="none" w:sz="0" w:space="0" w:color="auto"/>
        <w:left w:val="none" w:sz="0" w:space="0" w:color="auto"/>
        <w:bottom w:val="none" w:sz="0" w:space="0" w:color="auto"/>
        <w:right w:val="none" w:sz="0" w:space="0" w:color="auto"/>
      </w:divBdr>
    </w:div>
    <w:div w:id="1596547872">
      <w:bodyDiv w:val="1"/>
      <w:marLeft w:val="0"/>
      <w:marRight w:val="0"/>
      <w:marTop w:val="0"/>
      <w:marBottom w:val="0"/>
      <w:divBdr>
        <w:top w:val="none" w:sz="0" w:space="0" w:color="auto"/>
        <w:left w:val="none" w:sz="0" w:space="0" w:color="auto"/>
        <w:bottom w:val="none" w:sz="0" w:space="0" w:color="auto"/>
        <w:right w:val="none" w:sz="0" w:space="0" w:color="auto"/>
      </w:divBdr>
    </w:div>
    <w:div w:id="1776362908">
      <w:bodyDiv w:val="1"/>
      <w:marLeft w:val="0"/>
      <w:marRight w:val="0"/>
      <w:marTop w:val="0"/>
      <w:marBottom w:val="0"/>
      <w:divBdr>
        <w:top w:val="none" w:sz="0" w:space="0" w:color="auto"/>
        <w:left w:val="none" w:sz="0" w:space="0" w:color="auto"/>
        <w:bottom w:val="none" w:sz="0" w:space="0" w:color="auto"/>
        <w:right w:val="none" w:sz="0" w:space="0" w:color="auto"/>
      </w:divBdr>
      <w:divsChild>
        <w:div w:id="865295744">
          <w:marLeft w:val="0"/>
          <w:marRight w:val="0"/>
          <w:marTop w:val="0"/>
          <w:marBottom w:val="0"/>
          <w:divBdr>
            <w:top w:val="none" w:sz="0" w:space="0" w:color="auto"/>
            <w:left w:val="none" w:sz="0" w:space="0" w:color="auto"/>
            <w:bottom w:val="none" w:sz="0" w:space="0" w:color="auto"/>
            <w:right w:val="none" w:sz="0" w:space="0" w:color="auto"/>
          </w:divBdr>
        </w:div>
      </w:divsChild>
    </w:div>
    <w:div w:id="1811557214">
      <w:bodyDiv w:val="1"/>
      <w:marLeft w:val="0"/>
      <w:marRight w:val="0"/>
      <w:marTop w:val="0"/>
      <w:marBottom w:val="0"/>
      <w:divBdr>
        <w:top w:val="none" w:sz="0" w:space="0" w:color="auto"/>
        <w:left w:val="none" w:sz="0" w:space="0" w:color="auto"/>
        <w:bottom w:val="none" w:sz="0" w:space="0" w:color="auto"/>
        <w:right w:val="none" w:sz="0" w:space="0" w:color="auto"/>
      </w:divBdr>
    </w:div>
    <w:div w:id="1919902451">
      <w:bodyDiv w:val="1"/>
      <w:marLeft w:val="0"/>
      <w:marRight w:val="0"/>
      <w:marTop w:val="0"/>
      <w:marBottom w:val="0"/>
      <w:divBdr>
        <w:top w:val="none" w:sz="0" w:space="0" w:color="auto"/>
        <w:left w:val="none" w:sz="0" w:space="0" w:color="auto"/>
        <w:bottom w:val="none" w:sz="0" w:space="0" w:color="auto"/>
        <w:right w:val="none" w:sz="0" w:space="0" w:color="auto"/>
      </w:divBdr>
    </w:div>
    <w:div w:id="1976057917">
      <w:bodyDiv w:val="1"/>
      <w:marLeft w:val="0"/>
      <w:marRight w:val="0"/>
      <w:marTop w:val="0"/>
      <w:marBottom w:val="0"/>
      <w:divBdr>
        <w:top w:val="none" w:sz="0" w:space="0" w:color="auto"/>
        <w:left w:val="none" w:sz="0" w:space="0" w:color="auto"/>
        <w:bottom w:val="none" w:sz="0" w:space="0" w:color="auto"/>
        <w:right w:val="none" w:sz="0" w:space="0" w:color="auto"/>
      </w:divBdr>
    </w:div>
    <w:div w:id="2000619649">
      <w:bodyDiv w:val="1"/>
      <w:marLeft w:val="0"/>
      <w:marRight w:val="0"/>
      <w:marTop w:val="0"/>
      <w:marBottom w:val="0"/>
      <w:divBdr>
        <w:top w:val="none" w:sz="0" w:space="0" w:color="auto"/>
        <w:left w:val="none" w:sz="0" w:space="0" w:color="auto"/>
        <w:bottom w:val="none" w:sz="0" w:space="0" w:color="auto"/>
        <w:right w:val="none" w:sz="0" w:space="0" w:color="auto"/>
      </w:divBdr>
    </w:div>
    <w:div w:id="2024428237">
      <w:bodyDiv w:val="1"/>
      <w:marLeft w:val="0"/>
      <w:marRight w:val="0"/>
      <w:marTop w:val="0"/>
      <w:marBottom w:val="0"/>
      <w:divBdr>
        <w:top w:val="none" w:sz="0" w:space="0" w:color="auto"/>
        <w:left w:val="none" w:sz="0" w:space="0" w:color="auto"/>
        <w:bottom w:val="none" w:sz="0" w:space="0" w:color="auto"/>
        <w:right w:val="none" w:sz="0" w:space="0" w:color="auto"/>
      </w:divBdr>
    </w:div>
    <w:div w:id="207010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aascu.org/grc/gs/" TargetMode="External"/><Relationship Id="rId18" Type="http://schemas.openxmlformats.org/officeDocument/2006/relationships/hyperlink" Target="https://www.artsmidwest.org/programs/neabigread/guidelines" TargetMode="External"/><Relationship Id="rId26" Type="http://schemas.openxmlformats.org/officeDocument/2006/relationships/hyperlink" Target="https://grants.nih.gov/grants/guide/pa-files/PAR-18-925.html" TargetMode="External"/><Relationship Id="rId3" Type="http://schemas.openxmlformats.org/officeDocument/2006/relationships/styles" Target="styles.xml"/><Relationship Id="rId21" Type="http://schemas.openxmlformats.org/officeDocument/2006/relationships/hyperlink" Target="https://www.nsf.gov/funding/pgm_summ.jsp?pims_id=5686"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punj.edu/osp/explorations/" TargetMode="External"/><Relationship Id="rId17" Type="http://schemas.openxmlformats.org/officeDocument/2006/relationships/hyperlink" Target="http://www.acls.org/grants/Single.aspx?id=352" TargetMode="External"/><Relationship Id="rId25" Type="http://schemas.openxmlformats.org/officeDocument/2006/relationships/hyperlink" Target="https://www.arts.gov/grants-individuals/creative-writing-fellowship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eh.gov/grants/preservation/preservation-assistance-grants-smaller-institutions" TargetMode="External"/><Relationship Id="rId20" Type="http://schemas.openxmlformats.org/officeDocument/2006/relationships/hyperlink" Target="https://www.neh.gov/grants/preservation/sustaining-cultural-heritage-collections" TargetMode="External"/><Relationship Id="rId29" Type="http://schemas.openxmlformats.org/officeDocument/2006/relationships/hyperlink" Target="http://www.wpunj.edu/osp/irb/index.do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nsf.gov/funding/pgm_summ.jsp?pims_id=504696" TargetMode="External"/><Relationship Id="rId32" Type="http://schemas.openxmlformats.org/officeDocument/2006/relationships/hyperlink" Target="http://www.wpunj.edu/osp/celebrating-awards.html" TargetMode="External"/><Relationship Id="rId5" Type="http://schemas.openxmlformats.org/officeDocument/2006/relationships/webSettings" Target="webSettings.xml"/><Relationship Id="rId15" Type="http://schemas.openxmlformats.org/officeDocument/2006/relationships/hyperlink" Target="http://www.aascu.org/grc/" TargetMode="External"/><Relationship Id="rId23" Type="http://schemas.openxmlformats.org/officeDocument/2006/relationships/hyperlink" Target="https://www.nsf.gov/pubs/2015/nsf15506/nsf15506.htm" TargetMode="External"/><Relationship Id="rId28" Type="http://schemas.openxmlformats.org/officeDocument/2006/relationships/hyperlink" Target="http://www.wpunj.edu/osp/workshops.dot" TargetMode="External"/><Relationship Id="rId10" Type="http://schemas.openxmlformats.org/officeDocument/2006/relationships/hyperlink" Target="http://www.wpunj.edu/osp/dui/index.html" TargetMode="External"/><Relationship Id="rId19" Type="http://schemas.openxmlformats.org/officeDocument/2006/relationships/hyperlink" Target="https://www.nsf.gov/pubs/2015/nsf15528/nsf15528.htm" TargetMode="External"/><Relationship Id="rId31" Type="http://schemas.openxmlformats.org/officeDocument/2006/relationships/hyperlink" Target="http://www.wpunj.edu/osp/narratives-and-budgets.dot" TargetMode="External"/><Relationship Id="rId4" Type="http://schemas.openxmlformats.org/officeDocument/2006/relationships/settings" Target="settings.xml"/><Relationship Id="rId9" Type="http://schemas.openxmlformats.org/officeDocument/2006/relationships/hyperlink" Target="mailto:grants@wpunj.edu" TargetMode="External"/><Relationship Id="rId14" Type="http://schemas.openxmlformats.org/officeDocument/2006/relationships/hyperlink" Target="http://www.grants.gov/web/grants/home.html" TargetMode="External"/><Relationship Id="rId22" Type="http://schemas.openxmlformats.org/officeDocument/2006/relationships/hyperlink" Target="http://www.tinker.org/content/institutional-grants" TargetMode="External"/><Relationship Id="rId27" Type="http://schemas.openxmlformats.org/officeDocument/2006/relationships/hyperlink" Target="https://grants.nih.gov/grants/guide/pa-files/PAR-17-178.html" TargetMode="External"/><Relationship Id="rId30" Type="http://schemas.openxmlformats.org/officeDocument/2006/relationships/hyperlink" Target="http://www.wpunj.edu/osp/preparing-proposal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C9E40-76AF-4681-8DAB-155F0910F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2035</Words>
  <Characters>11601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William Paterson University</Company>
  <LinksUpToDate>false</LinksUpToDate>
  <CharactersWithSpaces>13609</CharactersWithSpaces>
  <SharedDoc>false</SharedDoc>
  <HLinks>
    <vt:vector size="276" baseType="variant">
      <vt:variant>
        <vt:i4>7864358</vt:i4>
      </vt:variant>
      <vt:variant>
        <vt:i4>135</vt:i4>
      </vt:variant>
      <vt:variant>
        <vt:i4>0</vt:i4>
      </vt:variant>
      <vt:variant>
        <vt:i4>5</vt:i4>
      </vt:variant>
      <vt:variant>
        <vt:lpwstr>http://www.wpunj.edu/osp/recent-awards.dot</vt:lpwstr>
      </vt:variant>
      <vt:variant>
        <vt:lpwstr/>
      </vt:variant>
      <vt:variant>
        <vt:i4>7602276</vt:i4>
      </vt:variant>
      <vt:variant>
        <vt:i4>132</vt:i4>
      </vt:variant>
      <vt:variant>
        <vt:i4>0</vt:i4>
      </vt:variant>
      <vt:variant>
        <vt:i4>5</vt:i4>
      </vt:variant>
      <vt:variant>
        <vt:lpwstr>http://www.wpunj.edu/osp/narratives-and-budgets.dot</vt:lpwstr>
      </vt:variant>
      <vt:variant>
        <vt:lpwstr/>
      </vt:variant>
      <vt:variant>
        <vt:i4>4456472</vt:i4>
      </vt:variant>
      <vt:variant>
        <vt:i4>129</vt:i4>
      </vt:variant>
      <vt:variant>
        <vt:i4>0</vt:i4>
      </vt:variant>
      <vt:variant>
        <vt:i4>5</vt:i4>
      </vt:variant>
      <vt:variant>
        <vt:lpwstr>http://www.wpunj.edu/osp/preparing-proposals.dot</vt:lpwstr>
      </vt:variant>
      <vt:variant>
        <vt:lpwstr/>
      </vt:variant>
      <vt:variant>
        <vt:i4>2228320</vt:i4>
      </vt:variant>
      <vt:variant>
        <vt:i4>126</vt:i4>
      </vt:variant>
      <vt:variant>
        <vt:i4>0</vt:i4>
      </vt:variant>
      <vt:variant>
        <vt:i4>5</vt:i4>
      </vt:variant>
      <vt:variant>
        <vt:lpwstr>http://www.wpunj.edu/osp/irb/index.dot</vt:lpwstr>
      </vt:variant>
      <vt:variant>
        <vt:lpwstr/>
      </vt:variant>
      <vt:variant>
        <vt:i4>3538986</vt:i4>
      </vt:variant>
      <vt:variant>
        <vt:i4>123</vt:i4>
      </vt:variant>
      <vt:variant>
        <vt:i4>0</vt:i4>
      </vt:variant>
      <vt:variant>
        <vt:i4>5</vt:i4>
      </vt:variant>
      <vt:variant>
        <vt:lpwstr>http://www.wpunj.edu/osp/workshops.dot</vt:lpwstr>
      </vt:variant>
      <vt:variant>
        <vt:lpwstr/>
      </vt:variant>
      <vt:variant>
        <vt:i4>5898264</vt:i4>
      </vt:variant>
      <vt:variant>
        <vt:i4>120</vt:i4>
      </vt:variant>
      <vt:variant>
        <vt:i4>0</vt:i4>
      </vt:variant>
      <vt:variant>
        <vt:i4>5</vt:i4>
      </vt:variant>
      <vt:variant>
        <vt:lpwstr>https://us.fulbrightonline.org/about/types-of-awards</vt:lpwstr>
      </vt:variant>
      <vt:variant>
        <vt:lpwstr/>
      </vt:variant>
      <vt:variant>
        <vt:i4>1900626</vt:i4>
      </vt:variant>
      <vt:variant>
        <vt:i4>117</vt:i4>
      </vt:variant>
      <vt:variant>
        <vt:i4>0</vt:i4>
      </vt:variant>
      <vt:variant>
        <vt:i4>5</vt:i4>
      </vt:variant>
      <vt:variant>
        <vt:lpwstr>https://us.fulbrightonline.org/about/types-of-grants/critical-language-enhancement-award</vt:lpwstr>
      </vt:variant>
      <vt:variant>
        <vt:lpwstr/>
      </vt:variant>
      <vt:variant>
        <vt:i4>4128878</vt:i4>
      </vt:variant>
      <vt:variant>
        <vt:i4>114</vt:i4>
      </vt:variant>
      <vt:variant>
        <vt:i4>0</vt:i4>
      </vt:variant>
      <vt:variant>
        <vt:i4>5</vt:i4>
      </vt:variant>
      <vt:variant>
        <vt:lpwstr>https://us.fulbrightonline.org/about/types-of-grants/study-research</vt:lpwstr>
      </vt:variant>
      <vt:variant>
        <vt:lpwstr/>
      </vt:variant>
      <vt:variant>
        <vt:i4>1048659</vt:i4>
      </vt:variant>
      <vt:variant>
        <vt:i4>111</vt:i4>
      </vt:variant>
      <vt:variant>
        <vt:i4>0</vt:i4>
      </vt:variant>
      <vt:variant>
        <vt:i4>5</vt:i4>
      </vt:variant>
      <vt:variant>
        <vt:lpwstr>http://www.acs.org/content/acs/en/funding-and-awards/grants/prf/programs.html</vt:lpwstr>
      </vt:variant>
      <vt:variant>
        <vt:lpwstr/>
      </vt:variant>
      <vt:variant>
        <vt:i4>5046357</vt:i4>
      </vt:variant>
      <vt:variant>
        <vt:i4>108</vt:i4>
      </vt:variant>
      <vt:variant>
        <vt:i4>0</vt:i4>
      </vt:variant>
      <vt:variant>
        <vt:i4>5</vt:i4>
      </vt:variant>
      <vt:variant>
        <vt:lpwstr>https://www.arts.gov/grants-organizations/research-art-works</vt:lpwstr>
      </vt:variant>
      <vt:variant>
        <vt:lpwstr/>
      </vt:variant>
      <vt:variant>
        <vt:i4>1900614</vt:i4>
      </vt:variant>
      <vt:variant>
        <vt:i4>105</vt:i4>
      </vt:variant>
      <vt:variant>
        <vt:i4>0</vt:i4>
      </vt:variant>
      <vt:variant>
        <vt:i4>5</vt:i4>
      </vt:variant>
      <vt:variant>
        <vt:lpwstr>https://www.nsf.gov/funding/pgm_summ.jsp?pims_id=5610</vt:lpwstr>
      </vt:variant>
      <vt:variant>
        <vt:lpwstr/>
      </vt:variant>
      <vt:variant>
        <vt:i4>4522085</vt:i4>
      </vt:variant>
      <vt:variant>
        <vt:i4>102</vt:i4>
      </vt:variant>
      <vt:variant>
        <vt:i4>0</vt:i4>
      </vt:variant>
      <vt:variant>
        <vt:i4>5</vt:i4>
      </vt:variant>
      <vt:variant>
        <vt:lpwstr>https://www.nsf.gov/pubs/2017/nsf17585/nsf17585.htm?WT.mc_id=USNSF_25&amp;WT.mc_ev=click</vt:lpwstr>
      </vt:variant>
      <vt:variant>
        <vt:lpwstr/>
      </vt:variant>
      <vt:variant>
        <vt:i4>2097200</vt:i4>
      </vt:variant>
      <vt:variant>
        <vt:i4>99</vt:i4>
      </vt:variant>
      <vt:variant>
        <vt:i4>0</vt:i4>
      </vt:variant>
      <vt:variant>
        <vt:i4>5</vt:i4>
      </vt:variant>
      <vt:variant>
        <vt:lpwstr>http://njch.org/programs/grant/</vt:lpwstr>
      </vt:variant>
      <vt:variant>
        <vt:lpwstr/>
      </vt:variant>
      <vt:variant>
        <vt:i4>3997806</vt:i4>
      </vt:variant>
      <vt:variant>
        <vt:i4>96</vt:i4>
      </vt:variant>
      <vt:variant>
        <vt:i4>0</vt:i4>
      </vt:variant>
      <vt:variant>
        <vt:i4>5</vt:i4>
      </vt:variant>
      <vt:variant>
        <vt:lpwstr>http://teachpsych.org/page-1557800</vt:lpwstr>
      </vt:variant>
      <vt:variant>
        <vt:lpwstr/>
      </vt:variant>
      <vt:variant>
        <vt:i4>8192120</vt:i4>
      </vt:variant>
      <vt:variant>
        <vt:i4>93</vt:i4>
      </vt:variant>
      <vt:variant>
        <vt:i4>0</vt:i4>
      </vt:variant>
      <vt:variant>
        <vt:i4>5</vt:i4>
      </vt:variant>
      <vt:variant>
        <vt:lpwstr>http://teachpsych.org/members/grants/ECPtravel.php</vt:lpwstr>
      </vt:variant>
      <vt:variant>
        <vt:lpwstr/>
      </vt:variant>
      <vt:variant>
        <vt:i4>6750314</vt:i4>
      </vt:variant>
      <vt:variant>
        <vt:i4>90</vt:i4>
      </vt:variant>
      <vt:variant>
        <vt:i4>0</vt:i4>
      </vt:variant>
      <vt:variant>
        <vt:i4>5</vt:i4>
      </vt:variant>
      <vt:variant>
        <vt:lpwstr>http://www.neafoundation.org/for-educators/learning-and-leadership-grants/</vt:lpwstr>
      </vt:variant>
      <vt:variant>
        <vt:lpwstr/>
      </vt:variant>
      <vt:variant>
        <vt:i4>6750307</vt:i4>
      </vt:variant>
      <vt:variant>
        <vt:i4>87</vt:i4>
      </vt:variant>
      <vt:variant>
        <vt:i4>0</vt:i4>
      </vt:variant>
      <vt:variant>
        <vt:i4>5</vt:i4>
      </vt:variant>
      <vt:variant>
        <vt:lpwstr>https://www.neh.gov/grants/research/scholarly-editions-and-translations-grants</vt:lpwstr>
      </vt:variant>
      <vt:variant>
        <vt:lpwstr/>
      </vt:variant>
      <vt:variant>
        <vt:i4>5439513</vt:i4>
      </vt:variant>
      <vt:variant>
        <vt:i4>84</vt:i4>
      </vt:variant>
      <vt:variant>
        <vt:i4>0</vt:i4>
      </vt:variant>
      <vt:variant>
        <vt:i4>5</vt:i4>
      </vt:variant>
      <vt:variant>
        <vt:lpwstr>https://www.neh.gov/grants/education/humanities-connections-implementation-grants</vt:lpwstr>
      </vt:variant>
      <vt:variant>
        <vt:lpwstr/>
      </vt:variant>
      <vt:variant>
        <vt:i4>3866750</vt:i4>
      </vt:variant>
      <vt:variant>
        <vt:i4>81</vt:i4>
      </vt:variant>
      <vt:variant>
        <vt:i4>0</vt:i4>
      </vt:variant>
      <vt:variant>
        <vt:i4>5</vt:i4>
      </vt:variant>
      <vt:variant>
        <vt:lpwstr>https://www.neh.gov/grants/education/humanities-connections-planning-grants</vt:lpwstr>
      </vt:variant>
      <vt:variant>
        <vt:lpwstr/>
      </vt:variant>
      <vt:variant>
        <vt:i4>4194387</vt:i4>
      </vt:variant>
      <vt:variant>
        <vt:i4>78</vt:i4>
      </vt:variant>
      <vt:variant>
        <vt:i4>0</vt:i4>
      </vt:variant>
      <vt:variant>
        <vt:i4>5</vt:i4>
      </vt:variant>
      <vt:variant>
        <vt:lpwstr>http://www.aascu.org/grc/</vt:lpwstr>
      </vt:variant>
      <vt:variant>
        <vt:lpwstr/>
      </vt:variant>
      <vt:variant>
        <vt:i4>2162793</vt:i4>
      </vt:variant>
      <vt:variant>
        <vt:i4>75</vt:i4>
      </vt:variant>
      <vt:variant>
        <vt:i4>0</vt:i4>
      </vt:variant>
      <vt:variant>
        <vt:i4>5</vt:i4>
      </vt:variant>
      <vt:variant>
        <vt:lpwstr>http://www.grants.gov/web/grants/home.html</vt:lpwstr>
      </vt:variant>
      <vt:variant>
        <vt:lpwstr/>
      </vt:variant>
      <vt:variant>
        <vt:i4>524303</vt:i4>
      </vt:variant>
      <vt:variant>
        <vt:i4>72</vt:i4>
      </vt:variant>
      <vt:variant>
        <vt:i4>0</vt:i4>
      </vt:variant>
      <vt:variant>
        <vt:i4>5</vt:i4>
      </vt:variant>
      <vt:variant>
        <vt:lpwstr>http://www.aascu.org/grc/gs/</vt:lpwstr>
      </vt:variant>
      <vt:variant>
        <vt:lpwstr/>
      </vt:variant>
      <vt:variant>
        <vt:i4>4325433</vt:i4>
      </vt:variant>
      <vt:variant>
        <vt:i4>69</vt:i4>
      </vt:variant>
      <vt:variant>
        <vt:i4>0</vt:i4>
      </vt:variant>
      <vt:variant>
        <vt:i4>5</vt:i4>
      </vt:variant>
      <vt:variant>
        <vt:lpwstr>mailto:BravoC4@wpunj.edu</vt:lpwstr>
      </vt:variant>
      <vt:variant>
        <vt:lpwstr/>
      </vt:variant>
      <vt:variant>
        <vt:i4>262184</vt:i4>
      </vt:variant>
      <vt:variant>
        <vt:i4>66</vt:i4>
      </vt:variant>
      <vt:variant>
        <vt:i4>0</vt:i4>
      </vt:variant>
      <vt:variant>
        <vt:i4>5</vt:i4>
      </vt:variant>
      <vt:variant>
        <vt:lpwstr>mailto:grants@wpunj.edu</vt:lpwstr>
      </vt:variant>
      <vt:variant>
        <vt:lpwstr/>
      </vt:variant>
      <vt:variant>
        <vt:i4>1179775</vt:i4>
      </vt:variant>
      <vt:variant>
        <vt:i4>63</vt:i4>
      </vt:variant>
      <vt:variant>
        <vt:i4>0</vt:i4>
      </vt:variant>
      <vt:variant>
        <vt:i4>5</vt:i4>
      </vt:variant>
      <vt:variant>
        <vt:lpwstr>javascript:window['ctl01_TemplateBody_WebPartManager1_gwpciEventProgramDisplay_ciEventProgramDisplay_jsmanager'].DisplayFunction(%22GRCWEB17%22,%22GRCWEB17/GWEBNIH%22,%2241466%22,%22~/AASCU/FunctionDetail%22,%22False%22);</vt:lpwstr>
      </vt:variant>
      <vt:variant>
        <vt:lpwstr/>
      </vt:variant>
      <vt:variant>
        <vt:i4>2359403</vt:i4>
      </vt:variant>
      <vt:variant>
        <vt:i4>60</vt:i4>
      </vt:variant>
      <vt:variant>
        <vt:i4>0</vt:i4>
      </vt:variant>
      <vt:variant>
        <vt:i4>5</vt:i4>
      </vt:variant>
      <vt:variant>
        <vt:lpwstr>http://www.wpunj.edu/osp/funding-opportunities.html</vt:lpwstr>
      </vt:variant>
      <vt:variant>
        <vt:lpwstr/>
      </vt:variant>
      <vt:variant>
        <vt:i4>4325433</vt:i4>
      </vt:variant>
      <vt:variant>
        <vt:i4>57</vt:i4>
      </vt:variant>
      <vt:variant>
        <vt:i4>0</vt:i4>
      </vt:variant>
      <vt:variant>
        <vt:i4>5</vt:i4>
      </vt:variant>
      <vt:variant>
        <vt:lpwstr>mailto:bravoc4@wpunj.edu</vt:lpwstr>
      </vt:variant>
      <vt:variant>
        <vt:lpwstr/>
      </vt:variant>
      <vt:variant>
        <vt:i4>6553703</vt:i4>
      </vt:variant>
      <vt:variant>
        <vt:i4>54</vt:i4>
      </vt:variant>
      <vt:variant>
        <vt:i4>0</vt:i4>
      </vt:variant>
      <vt:variant>
        <vt:i4>5</vt:i4>
      </vt:variant>
      <vt:variant>
        <vt:lpwstr>https://www.nsf.gov/bfa/dias/policy/coa.jsp</vt:lpwstr>
      </vt:variant>
      <vt:variant>
        <vt:lpwstr/>
      </vt:variant>
      <vt:variant>
        <vt:i4>1376355</vt:i4>
      </vt:variant>
      <vt:variant>
        <vt:i4>51</vt:i4>
      </vt:variant>
      <vt:variant>
        <vt:i4>0</vt:i4>
      </vt:variant>
      <vt:variant>
        <vt:i4>5</vt:i4>
      </vt:variant>
      <vt:variant>
        <vt:lpwstr>https://www.nsf.gov/od/broadeningparticipation/bp_outreach.jsp</vt:lpwstr>
      </vt:variant>
      <vt:variant>
        <vt:lpwstr/>
      </vt:variant>
      <vt:variant>
        <vt:i4>5373993</vt:i4>
      </vt:variant>
      <vt:variant>
        <vt:i4>48</vt:i4>
      </vt:variant>
      <vt:variant>
        <vt:i4>0</vt:i4>
      </vt:variant>
      <vt:variant>
        <vt:i4>5</vt:i4>
      </vt:variant>
      <vt:variant>
        <vt:lpwstr>https://www.nsf.gov/bfa/dias/policy/outreach/propprep_spring17.pdf</vt:lpwstr>
      </vt:variant>
      <vt:variant>
        <vt:lpwstr/>
      </vt:variant>
      <vt:variant>
        <vt:i4>5898316</vt:i4>
      </vt:variant>
      <vt:variant>
        <vt:i4>45</vt:i4>
      </vt:variant>
      <vt:variant>
        <vt:i4>0</vt:i4>
      </vt:variant>
      <vt:variant>
        <vt:i4>5</vt:i4>
      </vt:variant>
      <vt:variant>
        <vt:lpwstr>https://nsfgrantsconferences.com/resource-center/</vt:lpwstr>
      </vt:variant>
      <vt:variant>
        <vt:lpwstr/>
      </vt:variant>
      <vt:variant>
        <vt:i4>3735606</vt:i4>
      </vt:variant>
      <vt:variant>
        <vt:i4>42</vt:i4>
      </vt:variant>
      <vt:variant>
        <vt:i4>0</vt:i4>
      </vt:variant>
      <vt:variant>
        <vt:i4>5</vt:i4>
      </vt:variant>
      <vt:variant>
        <vt:lpwstr>https://www.nsf.gov/bfa/dias/policy/newsletter.jsp</vt:lpwstr>
      </vt:variant>
      <vt:variant>
        <vt:lpwstr/>
      </vt:variant>
      <vt:variant>
        <vt:i4>7733348</vt:i4>
      </vt:variant>
      <vt:variant>
        <vt:i4>39</vt:i4>
      </vt:variant>
      <vt:variant>
        <vt:i4>0</vt:i4>
      </vt:variant>
      <vt:variant>
        <vt:i4>5</vt:i4>
      </vt:variant>
      <vt:variant>
        <vt:lpwstr/>
      </vt:variant>
      <vt:variant>
        <vt:lpwstr>awards</vt:lpwstr>
      </vt:variant>
      <vt:variant>
        <vt:i4>1441823</vt:i4>
      </vt:variant>
      <vt:variant>
        <vt:i4>36</vt:i4>
      </vt:variant>
      <vt:variant>
        <vt:i4>0</vt:i4>
      </vt:variant>
      <vt:variant>
        <vt:i4>5</vt:i4>
      </vt:variant>
      <vt:variant>
        <vt:lpwstr/>
      </vt:variant>
      <vt:variant>
        <vt:lpwstr>fulbright</vt:lpwstr>
      </vt:variant>
      <vt:variant>
        <vt:i4>1376278</vt:i4>
      </vt:variant>
      <vt:variant>
        <vt:i4>33</vt:i4>
      </vt:variant>
      <vt:variant>
        <vt:i4>0</vt:i4>
      </vt:variant>
      <vt:variant>
        <vt:i4>5</vt:i4>
      </vt:variant>
      <vt:variant>
        <vt:lpwstr/>
      </vt:variant>
      <vt:variant>
        <vt:lpwstr>prfgp</vt:lpwstr>
      </vt:variant>
      <vt:variant>
        <vt:i4>6619246</vt:i4>
      </vt:variant>
      <vt:variant>
        <vt:i4>30</vt:i4>
      </vt:variant>
      <vt:variant>
        <vt:i4>0</vt:i4>
      </vt:variant>
      <vt:variant>
        <vt:i4>5</vt:i4>
      </vt:variant>
      <vt:variant>
        <vt:lpwstr/>
      </vt:variant>
      <vt:variant>
        <vt:lpwstr>nea</vt:lpwstr>
      </vt:variant>
      <vt:variant>
        <vt:i4>6750313</vt:i4>
      </vt:variant>
      <vt:variant>
        <vt:i4>27</vt:i4>
      </vt:variant>
      <vt:variant>
        <vt:i4>0</vt:i4>
      </vt:variant>
      <vt:variant>
        <vt:i4>5</vt:i4>
      </vt:variant>
      <vt:variant>
        <vt:lpwstr/>
      </vt:variant>
      <vt:variant>
        <vt:lpwstr>ige</vt:lpwstr>
      </vt:variant>
      <vt:variant>
        <vt:i4>6750313</vt:i4>
      </vt:variant>
      <vt:variant>
        <vt:i4>24</vt:i4>
      </vt:variant>
      <vt:variant>
        <vt:i4>0</vt:i4>
      </vt:variant>
      <vt:variant>
        <vt:i4>5</vt:i4>
      </vt:variant>
      <vt:variant>
        <vt:lpwstr/>
      </vt:variant>
      <vt:variant>
        <vt:lpwstr>ige</vt:lpwstr>
      </vt:variant>
      <vt:variant>
        <vt:i4>131085</vt:i4>
      </vt:variant>
      <vt:variant>
        <vt:i4>21</vt:i4>
      </vt:variant>
      <vt:variant>
        <vt:i4>0</vt:i4>
      </vt:variant>
      <vt:variant>
        <vt:i4>5</vt:i4>
      </vt:variant>
      <vt:variant>
        <vt:lpwstr/>
      </vt:variant>
      <vt:variant>
        <vt:lpwstr>njch</vt:lpwstr>
      </vt:variant>
      <vt:variant>
        <vt:i4>196615</vt:i4>
      </vt:variant>
      <vt:variant>
        <vt:i4>18</vt:i4>
      </vt:variant>
      <vt:variant>
        <vt:i4>0</vt:i4>
      </vt:variant>
      <vt:variant>
        <vt:i4>5</vt:i4>
      </vt:variant>
      <vt:variant>
        <vt:lpwstr/>
      </vt:variant>
      <vt:variant>
        <vt:lpwstr>sotl</vt:lpwstr>
      </vt:variant>
      <vt:variant>
        <vt:i4>7602291</vt:i4>
      </vt:variant>
      <vt:variant>
        <vt:i4>15</vt:i4>
      </vt:variant>
      <vt:variant>
        <vt:i4>0</vt:i4>
      </vt:variant>
      <vt:variant>
        <vt:i4>5</vt:i4>
      </vt:variant>
      <vt:variant>
        <vt:lpwstr/>
      </vt:variant>
      <vt:variant>
        <vt:lpwstr>stp</vt:lpwstr>
      </vt:variant>
      <vt:variant>
        <vt:i4>7471231</vt:i4>
      </vt:variant>
      <vt:variant>
        <vt:i4>12</vt:i4>
      </vt:variant>
      <vt:variant>
        <vt:i4>0</vt:i4>
      </vt:variant>
      <vt:variant>
        <vt:i4>5</vt:i4>
      </vt:variant>
      <vt:variant>
        <vt:lpwstr/>
      </vt:variant>
      <vt:variant>
        <vt:lpwstr>learningleadership</vt:lpwstr>
      </vt:variant>
      <vt:variant>
        <vt:i4>65541</vt:i4>
      </vt:variant>
      <vt:variant>
        <vt:i4>9</vt:i4>
      </vt:variant>
      <vt:variant>
        <vt:i4>0</vt:i4>
      </vt:variant>
      <vt:variant>
        <vt:i4>5</vt:i4>
      </vt:variant>
      <vt:variant>
        <vt:lpwstr/>
      </vt:variant>
      <vt:variant>
        <vt:lpwstr>scholarly</vt:lpwstr>
      </vt:variant>
      <vt:variant>
        <vt:i4>6619251</vt:i4>
      </vt:variant>
      <vt:variant>
        <vt:i4>6</vt:i4>
      </vt:variant>
      <vt:variant>
        <vt:i4>0</vt:i4>
      </vt:variant>
      <vt:variant>
        <vt:i4>5</vt:i4>
      </vt:variant>
      <vt:variant>
        <vt:lpwstr/>
      </vt:variant>
      <vt:variant>
        <vt:lpwstr>connections</vt:lpwstr>
      </vt:variant>
      <vt:variant>
        <vt:i4>3211388</vt:i4>
      </vt:variant>
      <vt:variant>
        <vt:i4>3</vt:i4>
      </vt:variant>
      <vt:variant>
        <vt:i4>0</vt:i4>
      </vt:variant>
      <vt:variant>
        <vt:i4>5</vt:i4>
      </vt:variant>
      <vt:variant>
        <vt:lpwstr>http://www.wpunj.edu/osp/dui/index.html</vt:lpwstr>
      </vt:variant>
      <vt:variant>
        <vt:lpwstr/>
      </vt:variant>
      <vt:variant>
        <vt:i4>262184</vt:i4>
      </vt:variant>
      <vt:variant>
        <vt:i4>0</vt:i4>
      </vt:variant>
      <vt:variant>
        <vt:i4>0</vt:i4>
      </vt:variant>
      <vt:variant>
        <vt:i4>5</vt:i4>
      </vt:variant>
      <vt:variant>
        <vt:lpwstr>mailto:grants@wpunj.edu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GRANTS</dc:creator>
  <cp:lastModifiedBy>GRANTS</cp:lastModifiedBy>
  <cp:revision>5</cp:revision>
  <cp:lastPrinted>2018-11-19T16:51:00Z</cp:lastPrinted>
  <dcterms:created xsi:type="dcterms:W3CDTF">2018-12-14T02:54:00Z</dcterms:created>
  <dcterms:modified xsi:type="dcterms:W3CDTF">2018-12-14T13:38:00Z</dcterms:modified>
</cp:coreProperties>
</file>